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Beneficient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72-1573705</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N. Saint Paul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4850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75201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BENEFICIENT 2023 LONG-TERM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James G. Silk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325 N. Saint Paul Street, Suite 4850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Dallas, Texas 75201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(214) 445-4700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including zip code, and telephone number, including area code, of agent for service)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Matthew L. Fry, Esq.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Haynes and Boone,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2801 N. Harwood Street, Suite 2300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Dallas, Texas 75201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(214) 651-5000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(the “Registration Statement”) is filed by Beneficient, a Nevada corporation (the “Company” or the “Registrant”), to register an additional 4,597,172 shares of its Class A common stock, par value $0.001 per share (the “Class A Common Stock”), issuable to eligible employees, contractors and non-employee directors of the Company and its subsidiaries and affiliated entities under the Beneficient 2023 Long-Term Incentive Plan (the “Plan”) pursuant to the First Amendment to the Plan (the “Amendment”) approved by the Company’s Board of Directors and stockholders. Such shares consist of (i) 4,179,247 shares of Class A Common Stock that became available for delivery under the Plan pursuant to the Amendment and (ii) 417,925 shares of Class A Common Stock that may again become available for delivery with respect to awards under the Plan pursuant to the share recycling provision of the Plan. The contents of the previous Registration Statement on Form S-8 (File No. 333-273331) filed by the Registrant with the Securities and Exchange Commission on July 19, 2023 (the “Prior Registration Statement”) relating to the Plan, including reports that the Registrant filed after the Prior Registration Statement to maintain current information about the Registrant, are incorporated by reference into this Registration Statement pursuant to General Instruction E of Form S-8. The Prior Registration Statement is currently effective.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1"/>
        <w:gridCol w:w="9214"/>
      </w:tblGrid>
      <w:tr>
        <w:trPr/>
        <w:tc>
          <w:tcPr>
            <w:tcW w:w="99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214"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 xml:space="preserve">Articles of Incorporation of Beneficient (incorporated by reference to Exhibit 3.1.1 to the Company’s Current Report on Form 8-K (File No. 001-41715) filed with the Securities and Exchange Commission on June 8, 2023). </w:t>
              </w:r>
            </w:hyperlink>
          </w:p>
        </w:tc>
      </w:tr>
      <w:tr>
        <w:trPr/>
        <w:tc>
          <w:tcPr>
            <w:tcW w:w="9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214"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Change to the Articles of Incorporation, filed April 15, 2024 (incorporated by reference to Exhibit 3.1 to the Company’s Current Report on Form 8-K (File No. 001-41715) filed with the Securities and Exchange Commission on April 16, 2024).</w:t>
              </w:r>
            </w:hyperlink>
          </w:p>
        </w:tc>
      </w:tr>
      <w:tr>
        <w:trPr/>
        <w:tc>
          <w:tcPr>
            <w:tcW w:w="9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214"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Articles of Incorporation, filed October 2, 2024 (incorporated by reference to Exhibit 3.1 to the Company’s Current Report on Form 8-K (File No. 001-41715) filed with the Securities and Exchange Commission on October 4, 2024).</w:t>
              </w:r>
            </w:hyperlink>
          </w:p>
        </w:tc>
      </w:tr>
      <w:tr>
        <w:trPr/>
        <w:tc>
          <w:tcPr>
            <w:tcW w:w="9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214"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Change to the Articles of Incorporation, filed December 10, 2025 (incorporated by reference to Exhibit 3.1 to the Company’s Current Report on Form 8-K (File No. 001-41715) filed with the Securities and Exchange Commission on December 11, 2025).</w:t>
              </w:r>
            </w:hyperlink>
          </w:p>
        </w:tc>
      </w:tr>
      <w:tr>
        <w:trPr/>
        <w:tc>
          <w:tcPr>
            <w:tcW w:w="9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9214"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 of Beneficient Series A Convertible Preferred Stock (incorporated by reference to Exhibit 3.1.2 to the Company’s Current Report on Form 8-K (File No. 001-41715) filed with the Securities and Exchange Commission on June 8, 2023).</w:t>
              </w:r>
            </w:hyperlink>
          </w:p>
        </w:tc>
      </w:tr>
      <w:tr>
        <w:trPr/>
        <w:tc>
          <w:tcPr>
            <w:tcW w:w="9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214"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Designation of Beneficient Series B-1 Convertible Preferred Stock (incorporated by reference to Exhibit 3.1 to the Company’s Current Report on Form 8-K (File No. 001-41715) filed with the Securities and Exchange Commission on August 2, 2023).</w:t>
              </w:r>
            </w:hyperlink>
          </w:p>
        </w:tc>
      </w:tr>
      <w:tr>
        <w:trPr/>
        <w:tc>
          <w:tcPr>
            <w:tcW w:w="9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214"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Designation of Beneficient Series B-2 Convertible Preferred Stock (incorporated by reference to Exhibit 3.1 to the Company’s Current Report on Form 8-K (File No. 001-41715) filed with the Securities and Exchange Commission on February 6,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2"/>
        <w:gridCol w:w="9663"/>
      </w:tblGrid>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663"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Designation of Beneficient Series B-3 Convertible Preferred Stock (incorporated by reference to Exhibit 3.2 to the Company’s Current Report on Form 8-K (File No. 001-41715) filed with the Securities and Exchange Commission on February 6, 2024).</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663"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Designation of Beneficient Series B-4 Convertible Preferred Stock (incorporated by reference to Exhibit 3.1 to the Company’s Current Report on Form 8-K (File No. 001-41715) filed with the Securities and Exchange Commission on March 28, 2024).</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663"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Designation of Beneficient Series B-5 Convertible Preferred Stock (incorporated by reference to Exhibit 3.1 to the Company’s Current Report on Form 8-K (File No. 001-41715) filed with the Securities and Exchange Commission on January 6, 2025).</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663"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Designation of Beneficient Series B-6 Convertible Preferred Stock (incorporated by reference to Exhibit 3.1 to the Company’s Current Report on Form 8-K (File No. 001-41715) filed with the Securities and Exchange Commission on April 7, 2025).</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663"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Designation of Beneficient Series B-7 Convertible Preferred Stock (incorporated by reference to Exhibit 3.1 to the Company’s Current Report on Form 8-K (File No. 001-41715) filed with the Securities and Exchange Commission on April 25, 2025).</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663"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Certificate of Designation of Beneficient Series B-8 Convertible Preferred Stock (incorporated by reference to Exhibit 3.1 to the Company’s Current Report on Form 8-K (File No. 001-41715) filed with the Securities and Exchange Commission on June 25, 2025).</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663"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Certificate of Designation of Beneficient Series B-9 Resettable Convertible Preferred Stock (incorporated by reference to Exhibit 3.1 to the Company’s Current Report on Form 8-K (File No. 001-41715) filed with the Securities and Exchange Commission on January 8, 2026).</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663"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Certificate of Designation of Beneficient Series B-10 Convertible Preferred Stock (incorporated by reference to Exhibit 3.1 to the Company’s Current Report on Form 8-K (File No. 001-41715) filed with the Securities and Exchange Commission on April 10, 2026).</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9663"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Designation of Beneficient Series B-11 Convertible Preferred Stock (incorporated by reference to Exhibit 3.1 to the Company’s Current Report on Form 8-K (File No. 001-41715) filed with the Securities and Exchange Commission on July 13, 2026).</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9663"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Bylaws of Beneficient (incorporated by reference to Exhibit 3.2 to the Company’s Current Report on Form 8-K (File No. 001-41715) filed with the Securities and Exchange Commission on June 8, 2023).</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9663"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 xml:space="preserve">Beneficient 2023 Long-Term Incentive Plan (incorporated by reference to Exhibit 10.7 to the Company’s Current Report on Form 8-K (File No. 001-41715) filed with the Securities and Exchange Commission on June 8, 2023). </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663"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First Amendment to the Beneficient 2023 Long-Term Incentive Plan (incorporated by reference to Exhibit 10.1 to the Company’s Current Report on Form 8-K (File No. 001-41715) filed with the Securities and Exchange Commission on March 30, 2026).</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663"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Opinion of Haynes and Boone, LLP. </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663"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Weaver &amp; Tidwell LLP, independent registered accounting firm for Beneficient.</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663"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Consent of Haynes and Boone, LLP (included in Exhibit 5.1). </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663" w:type="dxa"/>
            <w:tcBorders/>
            <w:vAlign w:val="center"/>
          </w:tcPr>
          <w:p>
            <w:pPr>
              <w:pStyle w:val="TableContents"/>
              <w:bidi w:val="0"/>
              <w:spacing w:before="0" w:after="283"/>
              <w:jc w:val="both"/>
              <w:rPr/>
            </w:pPr>
            <w:hyperlink w:anchor="POA_015">
              <w:r>
                <w:rPr>
                  <w:rStyle w:val="InternetLink"/>
                  <w:rFonts w:ascii="Times New Roman;Times;Serif" w:hAnsi="Times New Roman;Times;Serif"/>
                  <w:b w:val="false"/>
                  <w:i w:val="false"/>
                  <w:caps w:val="false"/>
                  <w:smallCaps w:val="false"/>
                  <w:sz w:val="20"/>
                </w:rPr>
                <w:t>Power of Attorney</w:t>
              </w:r>
            </w:hyperlink>
          </w:p>
        </w:tc>
      </w:tr>
      <w:tr>
        <w:trPr/>
        <w:tc>
          <w:tcPr>
            <w:tcW w:w="542" w:type="dxa"/>
            <w:tcBorders/>
            <w:vAlign w:val="center"/>
          </w:tcPr>
          <w:p>
            <w:pPr>
              <w:pStyle w:val="TableContents"/>
              <w:bidi w:val="0"/>
              <w:spacing w:before="0" w:after="283"/>
              <w:jc w:val="left"/>
              <w:rPr>
                <w:caps w:val="false"/>
                <w:smallCaps w:val="false"/>
              </w:rPr>
            </w:pPr>
            <w:r>
              <w:rPr>
                <w:caps w:val="false"/>
                <w:smallCaps w:val="false"/>
              </w:rPr>
              <w:t> </w:t>
            </w:r>
          </w:p>
        </w:tc>
        <w:tc>
          <w:tcPr>
            <w:tcW w:w="96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9663" w:type="dxa"/>
            <w:tcBorders/>
            <w:vAlign w:val="center"/>
          </w:tcPr>
          <w:p>
            <w:pPr>
              <w:pStyle w:val="TableContents"/>
              <w:bidi w:val="0"/>
              <w:spacing w:before="0" w:after="283"/>
              <w:jc w:val="both"/>
              <w:rPr/>
            </w:pPr>
            <w:hyperlink w:anchor="ex107-1.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Dallas, Texas, on the 7th day of August, 2026.</w:t>
      </w:r>
    </w:p>
    <w:p>
      <w:pPr>
        <w:pStyle w:val="TextBody"/>
        <w:bidi w:val="0"/>
        <w:spacing w:before="0" w:after="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G. Silk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G. Silk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POA_015"/>
      <w:bookmarkEnd w:id="2"/>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James G. Silk or Gregory W. Ezell, each with full power to act alone, as his or her true and lawful attorney-in-fact and agent, with full power of substitution, for him or her and on his or her behalf and in his or her name, place and stead, in any and all capacities, to execute any and all amendments (including post-effective amendments) to this Registration Statement, including, without limitation, additional registration statements filed pursuant to Rule 462(b) under the Securities Act,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in order to effectuate the same, as fully and to all intents and purposes as he or she might or could do if personally present, hereby ratifying and confirming all that said attorneys-in-fact and agents, or either of them, or their substitute or their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2000"/>
        <w:gridCol w:w="60"/>
        <w:gridCol w:w="3635"/>
        <w:gridCol w:w="60"/>
        <w:gridCol w:w="1280"/>
      </w:tblGrid>
      <w:tr>
        <w:trPr/>
        <w:tc>
          <w:tcPr>
            <w:tcW w:w="20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G. Silk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0"/>
              <w:ind w:left="20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20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W. Ezell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0"/>
              <w:ind w:left="20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20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T. Cangany, Jr.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T. Cangany,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Patrick J. Donegan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J. Donegan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Derek L. Fletcher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Derek L. Fletcher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Fiduciary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Mack Hicks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Mack Hicks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Bruce W. Schnitzer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W. Schnitzer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9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Karen J. Wendel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J. Wendel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3" w:name="ex5-1.htm"/>
      <w:bookmarkStart w:id="4" w:name="ksex51"/>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6667500" cy="962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Saint Paul Street, Suite 4850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Beneficient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Beneficient, a Nevada corporation (the “Company”), with respect to certain legal matters in connection with the preparation of the Company’s Registration Statement on Form S-8 (the “Registration Statement”) under the Securities Act of 1933, as amended (the “Securities Act”), filed with the Securities and Exchange Commission on the date hereof. The Registration Statement relates to the registration of 4,597,172 shares (the “Shares”) of the Company’s Class A common stock, $0.001 par value per share (the “Common Stock”), reserved for issuance under the Beneficient 2023 Long-Term Incentive Plan, as amended by that certain First Amendment to the Beneficient 2023 Long-Term Incentive Plan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 of Regulation S-K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exclusively to the laws of the state of Nevada, as currently in effect, and we have not considered, and express no opinion on,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herein, we have examined originals or copies, certified or otherwise identified to our satisfaction, of (i) the Articles of Incorporation of the Company and the Bylaws of the Company; (ii) certain resolutions of the board of directors of the Company related to the Plan; (iii) the Plan; (iv) the Registration Statement and all exhibits thereto; (v) the specimen Common Stock certificate; (vi) a certificate executed by an officer of the Company, dated as of the date hereof; and (vii) such other records, documents and instruments as we considered appropriate for purposes of the opinion stated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examinations, we have assumed the genuineness of all signatures, the legal capacity of all natural persons, the authenticity of all documents submitted to us as originals, the conformity to original documents submitted to us as certified, conformed or photostatic copies thereof and the authenticity of the originals of such latter documents. As to all questions of fact material to the opinion stated herein, we have, without independent third-party verification of their accuracy, relied in part, to the extent we deemed reasonably necessary or appropriate, upon the representations and warranties of the Company contained in such documents, records, certificates, instruments or representations furnished or made available to us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assumed that, at the time of the issuance of the Shares, (i) the resolutions referred to above will not have been modified or rescinded; (ii) there will not have occurred any change in the law affecting the authorization, execution, delivery, validity or fully paid status of the Common Stock; and (iii) the Company will receive consideration for the issuance of the Shares that is at least equal to the par value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qualifications, limitations, and exceptions set forth herein, we are of the opinion that upon the issuance of the Shares in accordance with the terms of the Plan,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all references to us in the Registration Statement. In giving this consent, we do not admit that we are within the category of persons whose consent is required under Section 7 of the Securities Act and the rules and regulations thereunder. This opinion is given as of the date hereof and we assume no obligation to update or supplement such opinion after the date hereof to reflect any facts or circumstances that may thereafter come to our attention or any changes that may thereafter occur.</w:t>
      </w:r>
    </w:p>
    <w:p>
      <w:pPr>
        <w:pStyle w:val="TextBody"/>
        <w:bidi w:val="0"/>
        <w:spacing w:before="0" w:after="0"/>
        <w:ind w:left="0" w:right="0" w:firstLine="72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75"/>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Very truly yours,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Haynes and Boone, LLP</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27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6667500" cy="1276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ex23-1.htm"/>
      <w:bookmarkStart w:id="6" w:name="ks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Beneficient’s Registration Statement on Form S-8 of our report dated June 29, 2026 on our audits of the consolidated financial statements of Beneficient as of March 31, 2026 and 2025 and for each of the years then ended appearing in Beneficient’s Annual Report on Form 10-K for the year ended March 31, 2026, which includes an explanatory paragraph regarding substantial doubt about Beneficient’s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 WEAVER AND TIDWELL,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ex107-1.htm"/>
      <w:bookmarkStart w:id="8" w:name="ksex1071"/>
      <w:bookmarkStart w:id="9" w:name="ex107-1.htm"/>
      <w:bookmarkStart w:id="10" w:name="ksex1071"/>
      <w:bookmarkEnd w:id="9"/>
      <w:bookmarkEnd w:id="10"/>
      <w:r>
        <w:br w:type="page"/>
      </w:r>
    </w:p>
    <w:tbl>
      <w:tblPr>
        <w:tblW w:w="3540" w:type="dxa"/>
        <w:jc w:val="left"/>
        <w:tblInd w:w="0" w:type="dxa"/>
        <w:tblLayout w:type="fixed"/>
        <w:tblCellMar>
          <w:top w:w="28" w:type="dxa"/>
          <w:left w:w="28" w:type="dxa"/>
          <w:bottom w:w="28" w:type="dxa"/>
          <w:right w:w="28" w:type="dxa"/>
        </w:tblCellMar>
      </w:tblPr>
      <w:tblGrid>
        <w:gridCol w:w="3386"/>
        <w:gridCol w:w="154"/>
      </w:tblGrid>
      <w:tr>
        <w:trPr/>
        <w:tc>
          <w:tcPr>
            <w:tcW w:w="354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8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86" w:type="dxa"/>
            <w:tcBorders/>
            <w:vAlign w:val="center"/>
          </w:tcPr>
          <w:p>
            <w:pPr>
              <w:pStyle w:val="TableContents"/>
              <w:bidi w:val="0"/>
              <w:spacing w:before="0" w:after="283"/>
              <w:jc w:val="left"/>
              <w:rPr>
                <w:b/>
              </w:rPr>
            </w:pPr>
            <w:r>
              <w:rPr>
                <w:b/>
              </w:rPr>
              <w:t xml:space="preserve">Beneficient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19"/>
        <w:gridCol w:w="1295"/>
        <w:gridCol w:w="1204"/>
        <w:gridCol w:w="1223"/>
        <w:gridCol w:w="1707"/>
        <w:gridCol w:w="1127"/>
        <w:gridCol w:w="143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7"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19" w:type="dxa"/>
            <w:tcBorders/>
            <w:shd w:fill="E7E7E2" w:val="clear"/>
            <w:vAlign w:val="center"/>
          </w:tcPr>
          <w:p>
            <w:pPr>
              <w:pStyle w:val="TableContents"/>
              <w:bidi w:val="0"/>
              <w:spacing w:before="0" w:after="283"/>
              <w:jc w:val="left"/>
              <w:rPr/>
            </w:pPr>
            <w:r>
              <w:rPr/>
              <w:t xml:space="preserve">Class A Common Stock </w:t>
            </w:r>
          </w:p>
        </w:tc>
        <w:tc>
          <w:tcPr>
            <w:tcW w:w="1295" w:type="dxa"/>
            <w:tcBorders/>
            <w:shd w:fill="E7E7E2" w:val="clear"/>
            <w:vAlign w:val="center"/>
          </w:tcPr>
          <w:p>
            <w:pPr>
              <w:pStyle w:val="TableContents"/>
              <w:bidi w:val="0"/>
              <w:spacing w:before="0" w:after="283"/>
              <w:jc w:val="center"/>
              <w:rPr/>
            </w:pPr>
            <w:r>
              <w:rPr/>
              <w:t xml:space="preserve">Other </w:t>
            </w:r>
          </w:p>
        </w:tc>
        <w:tc>
          <w:tcPr>
            <w:tcW w:w="1204" w:type="dxa"/>
            <w:tcBorders/>
            <w:shd w:fill="E7E7E2" w:val="clear"/>
            <w:vAlign w:val="center"/>
          </w:tcPr>
          <w:p>
            <w:pPr>
              <w:pStyle w:val="TableContents"/>
              <w:bidi w:val="0"/>
              <w:spacing w:before="0" w:after="283"/>
              <w:jc w:val="right"/>
              <w:rPr/>
            </w:pPr>
            <w:r>
              <w:rPr/>
              <w:t xml:space="preserve">4,597,172 </w:t>
            </w:r>
          </w:p>
        </w:tc>
        <w:tc>
          <w:tcPr>
            <w:tcW w:w="1223" w:type="dxa"/>
            <w:tcBorders/>
            <w:shd w:fill="E7E7E2" w:val="clear"/>
            <w:vAlign w:val="center"/>
          </w:tcPr>
          <w:p>
            <w:pPr>
              <w:pStyle w:val="TableContents"/>
              <w:bidi w:val="0"/>
              <w:spacing w:before="0" w:after="283"/>
              <w:jc w:val="right"/>
              <w:rPr/>
            </w:pPr>
            <w:r>
              <w:rPr/>
              <w:t xml:space="preserve">$ 3.01 </w:t>
            </w:r>
          </w:p>
        </w:tc>
        <w:tc>
          <w:tcPr>
            <w:tcW w:w="1707" w:type="dxa"/>
            <w:tcBorders/>
            <w:shd w:fill="E7E7E2" w:val="clear"/>
            <w:vAlign w:val="center"/>
          </w:tcPr>
          <w:p>
            <w:pPr>
              <w:pStyle w:val="TableContents"/>
              <w:bidi w:val="0"/>
              <w:spacing w:before="0" w:after="283"/>
              <w:jc w:val="right"/>
              <w:rPr/>
            </w:pPr>
            <w:r>
              <w:rPr/>
              <w:t xml:space="preserve">$ 13,837,487.72 </w:t>
            </w:r>
          </w:p>
        </w:tc>
        <w:tc>
          <w:tcPr>
            <w:tcW w:w="1127"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$ 1,910.96 </w:t>
            </w:r>
          </w:p>
        </w:tc>
      </w:tr>
      <w:tr>
        <w:trPr/>
        <w:tc>
          <w:tcPr>
            <w:tcW w:w="4718" w:type="dxa"/>
            <w:gridSpan w:val="5"/>
            <w:tcBorders/>
            <w:vAlign w:val="center"/>
          </w:tcPr>
          <w:p>
            <w:pPr>
              <w:pStyle w:val="TableContents"/>
              <w:bidi w:val="0"/>
              <w:spacing w:before="0" w:after="0"/>
              <w:ind w:left="0" w:right="0" w:hanging="0"/>
              <w:jc w:val="right"/>
              <w:rPr/>
            </w:pPr>
            <w:r>
              <w:rPr/>
              <w:t>Total Offering Amounts:</w:t>
            </w:r>
          </w:p>
        </w:tc>
        <w:tc>
          <w:tcPr>
            <w:tcW w:w="122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0"/>
              <w:ind w:left="0" w:right="0" w:hanging="0"/>
              <w:jc w:val="right"/>
              <w:rPr/>
            </w:pPr>
            <w:bookmarkStart w:id="11" w:name="MaxAggtOfferingPrice"/>
            <w:bookmarkEnd w:id="11"/>
            <w:r>
              <w:rPr/>
              <w:t xml:space="preserve">$ 13,837,487.72 </w:t>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$ 1,910.96 </w:t>
            </w:r>
          </w:p>
        </w:tc>
      </w:tr>
      <w:tr>
        <w:trPr/>
        <w:tc>
          <w:tcPr>
            <w:tcW w:w="4718" w:type="dxa"/>
            <w:gridSpan w:val="5"/>
            <w:tcBorders/>
            <w:vAlign w:val="center"/>
          </w:tcPr>
          <w:p>
            <w:pPr>
              <w:pStyle w:val="TableContents"/>
              <w:bidi w:val="0"/>
              <w:spacing w:before="0" w:after="0"/>
              <w:ind w:left="0" w:right="0" w:hanging="0"/>
              <w:jc w:val="right"/>
              <w:rPr/>
            </w:pPr>
            <w:r>
              <w:rPr/>
              <w:t xml:space="preserve">Total Fee Offsets: </w:t>
            </w:r>
          </w:p>
        </w:tc>
        <w:tc>
          <w:tcPr>
            <w:tcW w:w="122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3" w:name="TotalOffsetAmt"/>
            <w:bookmarkEnd w:id="13"/>
            <w:r>
              <w:rPr/>
              <w:t xml:space="preserve">$ 1,910.96 </w:t>
            </w:r>
          </w:p>
        </w:tc>
      </w:tr>
      <w:tr>
        <w:trPr/>
        <w:tc>
          <w:tcPr>
            <w:tcW w:w="4718" w:type="dxa"/>
            <w:gridSpan w:val="5"/>
            <w:tcBorders/>
            <w:vAlign w:val="center"/>
          </w:tcPr>
          <w:p>
            <w:pPr>
              <w:pStyle w:val="TableContents"/>
              <w:bidi w:val="0"/>
              <w:spacing w:before="0" w:after="0"/>
              <w:ind w:left="0" w:right="0" w:hanging="0"/>
              <w:jc w:val="right"/>
              <w:rPr/>
            </w:pPr>
            <w:r>
              <w:rPr/>
              <w:t xml:space="preserve">Net Fee Due: </w:t>
            </w:r>
          </w:p>
        </w:tc>
        <w:tc>
          <w:tcPr>
            <w:tcW w:w="122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4" w:name="NetFeeAmt"/>
            <w:bookmarkEnd w:id="14"/>
            <w:r>
              <w:rPr/>
              <w:t xml:space="preserve">$ 0.00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9"/>
        <w:gridCol w:w="8707"/>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This Registration Statement on Form S-8 (the "Registration Statement") covers (i) shares of Class A common stock, $0.001 par value per share (the "Class A Common Stock"), of Beneficient (the "Registrant") authorized for issuance under the Beneficient 2023 Long-Term Incentive Plan (the "Plan") and (ii) pursuant to Rule 416(a) under the Securities Act of 1933, as amended (the "Securities Act"), any additional shares of Class A Common Stock that may become issuable under the Plan by reason of any stock dividend, stock split or other similar transaction. (2) Includes (i) 4,179,247 shares of the Registrant's Class A Common Stock that are reserved and available for issuance as a result of the First Amendment to the Plan and (ii) 417,925 shares of Class A Common Stock that may again become available for delivery with respect to awards under the Plan pursuant to the share recycling provision of the Plan. See Explanatory Note. (3) Estimated solely for the purpose of calculating the registration fee in accordance with Rule 457(c) under the Securities Act, based on the average of the high ($3.15) and low ($2.87) prices of the shares of Class A Common Stock on The Nasdaq Capital Market on August 6, 2026, 2026 (such date being within five business days of the date that this registration statement was first filed with the Securities and Exchange Commission).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082" w:type="dxa"/>
        <w:jc w:val="left"/>
        <w:tblInd w:w="0" w:type="dxa"/>
        <w:tblLayout w:type="fixed"/>
        <w:tblCellMar>
          <w:top w:w="28" w:type="dxa"/>
          <w:left w:w="28" w:type="dxa"/>
          <w:bottom w:w="28" w:type="dxa"/>
          <w:right w:w="28" w:type="dxa"/>
        </w:tblCellMar>
      </w:tblPr>
      <w:tblGrid>
        <w:gridCol w:w="871"/>
        <w:gridCol w:w="226"/>
        <w:gridCol w:w="1186"/>
        <w:gridCol w:w="691"/>
        <w:gridCol w:w="961"/>
        <w:gridCol w:w="706"/>
        <w:gridCol w:w="691"/>
        <w:gridCol w:w="1126"/>
        <w:gridCol w:w="1186"/>
        <w:gridCol w:w="1186"/>
        <w:gridCol w:w="1186"/>
        <w:gridCol w:w="1786"/>
        <w:gridCol w:w="112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86"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12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12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08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86" w:type="dxa"/>
            <w:tcBorders/>
            <w:shd w:fill="E7E7E2" w:val="clear"/>
            <w:vAlign w:val="center"/>
          </w:tcPr>
          <w:p>
            <w:pPr>
              <w:pStyle w:val="TableContents"/>
              <w:bidi w:val="0"/>
              <w:spacing w:before="0" w:after="283"/>
              <w:jc w:val="left"/>
              <w:rPr/>
            </w:pPr>
            <w:r>
              <w:rPr/>
              <w:t xml:space="preserve">Beneficient </w:t>
            </w:r>
          </w:p>
        </w:tc>
        <w:tc>
          <w:tcPr>
            <w:tcW w:w="691" w:type="dxa"/>
            <w:tcBorders/>
            <w:shd w:fill="E7E7E2" w:val="clear"/>
            <w:vAlign w:val="center"/>
          </w:tcPr>
          <w:p>
            <w:pPr>
              <w:pStyle w:val="TableContents"/>
              <w:bidi w:val="0"/>
              <w:spacing w:before="0" w:after="283"/>
              <w:jc w:val="left"/>
              <w:rPr/>
            </w:pPr>
            <w:r>
              <w:rPr/>
              <w:t xml:space="preserve">S-1 </w:t>
            </w:r>
          </w:p>
        </w:tc>
        <w:tc>
          <w:tcPr>
            <w:tcW w:w="961" w:type="dxa"/>
            <w:tcBorders/>
            <w:shd w:fill="E7E7E2" w:val="clear"/>
            <w:vAlign w:val="center"/>
          </w:tcPr>
          <w:p>
            <w:pPr>
              <w:pStyle w:val="TableContents"/>
              <w:bidi w:val="0"/>
              <w:spacing w:before="0" w:after="283"/>
              <w:jc w:val="left"/>
              <w:rPr/>
            </w:pPr>
            <w:r>
              <w:rPr/>
              <w:t xml:space="preserve">333-292387 </w:t>
            </w:r>
          </w:p>
        </w:tc>
        <w:tc>
          <w:tcPr>
            <w:tcW w:w="706" w:type="dxa"/>
            <w:tcBorders/>
            <w:shd w:fill="E7E7E2" w:val="clear"/>
            <w:vAlign w:val="center"/>
          </w:tcPr>
          <w:p>
            <w:pPr>
              <w:pStyle w:val="TableContents"/>
              <w:bidi w:val="0"/>
              <w:spacing w:before="0" w:after="283"/>
              <w:jc w:val="left"/>
              <w:rPr/>
            </w:pPr>
            <w:r>
              <w:rPr/>
              <w:t xml:space="preserve">12/23/2025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$ 1,910.96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Class A common stock </w:t>
            </w:r>
          </w:p>
        </w:tc>
        <w:tc>
          <w:tcPr>
            <w:tcW w:w="1186" w:type="dxa"/>
            <w:tcBorders/>
            <w:shd w:fill="E7E7E2" w:val="clear"/>
            <w:vAlign w:val="center"/>
          </w:tcPr>
          <w:p>
            <w:pPr>
              <w:pStyle w:val="TableContents"/>
              <w:bidi w:val="0"/>
              <w:spacing w:before="0" w:after="283"/>
              <w:jc w:val="right"/>
              <w:rPr/>
            </w:pPr>
            <w:r>
              <w:rPr/>
              <w:t xml:space="preserve">70,764,778 </w:t>
            </w:r>
          </w:p>
        </w:tc>
        <w:tc>
          <w:tcPr>
            <w:tcW w:w="1786" w:type="dxa"/>
            <w:tcBorders/>
            <w:shd w:fill="E7E7E2" w:val="clear"/>
            <w:vAlign w:val="center"/>
          </w:tcPr>
          <w:p>
            <w:pPr>
              <w:pStyle w:val="TableContents"/>
              <w:bidi w:val="0"/>
              <w:spacing w:before="0" w:after="283"/>
              <w:jc w:val="right"/>
              <w:rPr/>
            </w:pPr>
            <w:r>
              <w:rPr/>
              <w:t xml:space="preserve">$ 283,349,247.59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1186" w:type="dxa"/>
            <w:tcBorders/>
            <w:shd w:fill="E7E7E2" w:val="clear"/>
            <w:vAlign w:val="center"/>
          </w:tcPr>
          <w:p>
            <w:pPr>
              <w:pStyle w:val="TableContents"/>
              <w:bidi w:val="0"/>
              <w:spacing w:before="0" w:after="283"/>
              <w:jc w:val="left"/>
              <w:rPr/>
            </w:pPr>
            <w:r>
              <w:rPr/>
              <w:t xml:space="preserve">Beneficient </w:t>
            </w:r>
          </w:p>
        </w:tc>
        <w:tc>
          <w:tcPr>
            <w:tcW w:w="691" w:type="dxa"/>
            <w:tcBorders/>
            <w:shd w:fill="E7E7E2" w:val="clear"/>
            <w:vAlign w:val="center"/>
          </w:tcPr>
          <w:p>
            <w:pPr>
              <w:pStyle w:val="TableContents"/>
              <w:bidi w:val="0"/>
              <w:spacing w:before="0" w:after="283"/>
              <w:jc w:val="left"/>
              <w:rPr/>
            </w:pPr>
            <w:r>
              <w:rPr/>
              <w:t xml:space="preserve">S-1 </w:t>
            </w:r>
          </w:p>
        </w:tc>
        <w:tc>
          <w:tcPr>
            <w:tcW w:w="961" w:type="dxa"/>
            <w:tcBorders/>
            <w:shd w:fill="E7E7E2" w:val="clear"/>
            <w:vAlign w:val="center"/>
          </w:tcPr>
          <w:p>
            <w:pPr>
              <w:pStyle w:val="TableContents"/>
              <w:bidi w:val="0"/>
              <w:spacing w:before="0" w:after="283"/>
              <w:jc w:val="left"/>
              <w:rPr/>
            </w:pPr>
            <w:r>
              <w:rPr/>
              <w:t xml:space="preserve">333-292387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12/23/2025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$ 1,910.96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4"/>
        <w:gridCol w:w="8703"/>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The Registrant previously filed a Registration Statement on Form S-1 with the Securities and Exchange Commission on December 23, 2025 (File No. 333-292387) (the "Prior Registration Statement"), that registered an aggregate of 71,017,840 shares of Class A common stock, 70,764,778 of which remain unsold (the "Unsold Securities") (as adjusted for stock splits). The Registrant hereby confirms that the Prior Registration Statement has been terminated.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3"/>
        <w:gridCol w:w="8707"/>
      </w:tblGrid>
      <w:tr>
        <w:trPr/>
        <w:tc>
          <w:tcPr>
            <w:tcW w:w="20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0" w:type="dxa"/>
            <w:gridSpan w:val="2"/>
            <w:tcBorders/>
            <w:vAlign w:val="center"/>
          </w:tcPr>
          <w:p>
            <w:pPr>
              <w:pStyle w:val="TableContents"/>
              <w:bidi w:val="0"/>
              <w:spacing w:before="0" w:after="283"/>
              <w:jc w:val="left"/>
              <w:rPr/>
            </w:pPr>
            <w:r>
              <w:rPr/>
              <w:t xml:space="preserve">The Registrant expects to offset the registration fee due hereunder by an amount of fees that was previously paid with respect to the Unsold Securities covered by the Prior Registration Statement pursuant to Rule 457(p) under the Securities Act. The fee previously paid for the Unsold Securities covered by the Prior Registration Statement was pursuant to Rule 457(p) under the Securities Act, and the Registrant hereby offsets the total registration fee due under this Registration Statement of $1,910.96 from the fees previously paid in connection with the Unsold Securities covered by the Prior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5734/000119312523162954/d504781dex311.htm" TargetMode="External"/><Relationship Id="rId3" Type="http://schemas.openxmlformats.org/officeDocument/2006/relationships/hyperlink" Target="https://www.sec.gov/Archives/edgar/data/1775734/000119312524097050/d774956dex31.htm" TargetMode="External"/><Relationship Id="rId4" Type="http://schemas.openxmlformats.org/officeDocument/2006/relationships/hyperlink" Target="https://www.sec.gov/Archives/edgar/data/1775734/000149315224039514/ex3-1.htm" TargetMode="External"/><Relationship Id="rId5" Type="http://schemas.openxmlformats.org/officeDocument/2006/relationships/hyperlink" Target="https://www.sec.gov/Archives/edgar/data/1775734/000149315225027152/ex3-1.htm" TargetMode="External"/><Relationship Id="rId6" Type="http://schemas.openxmlformats.org/officeDocument/2006/relationships/hyperlink" Target="https://www.sec.gov/Archives/edgar/data/1775734/000119312523162954/d504781dex312.htm" TargetMode="External"/><Relationship Id="rId7" Type="http://schemas.openxmlformats.org/officeDocument/2006/relationships/hyperlink" Target="https://www.sec.gov/Archives/edgar/data/1775734/000119312523201766/d490809dex31.htm" TargetMode="External"/><Relationship Id="rId8" Type="http://schemas.openxmlformats.org/officeDocument/2006/relationships/hyperlink" Target="https://www.sec.gov/Archives/edgar/data/1775734/000119312524025322/d72720dex31.htm" TargetMode="External"/><Relationship Id="rId9" Type="http://schemas.openxmlformats.org/officeDocument/2006/relationships/hyperlink" Target="https://www.sec.gov/Archives/edgar/data/1775734/000119312524025322/d72720dex32.htm" TargetMode="External"/><Relationship Id="rId10" Type="http://schemas.openxmlformats.org/officeDocument/2006/relationships/hyperlink" Target="https://www.sec.gov/Archives/edgar/data/1775734/000119312524080758/d816554dex31.htm" TargetMode="External"/><Relationship Id="rId11" Type="http://schemas.openxmlformats.org/officeDocument/2006/relationships/hyperlink" Target="https://www.sec.gov/Archives/edgar/data/1775734/000149315225000368/ex3-1.htm" TargetMode="External"/><Relationship Id="rId12" Type="http://schemas.openxmlformats.org/officeDocument/2006/relationships/hyperlink" Target="https://www.sec.gov/Archives/edgar/data/1775734/000164117225002895/ex3-1.htm" TargetMode="External"/><Relationship Id="rId13" Type="http://schemas.openxmlformats.org/officeDocument/2006/relationships/hyperlink" Target="https://www.sec.gov/Archives/edgar/data/1775734/000164117225006079/ex3-1.htm" TargetMode="External"/><Relationship Id="rId14" Type="http://schemas.openxmlformats.org/officeDocument/2006/relationships/hyperlink" Target="https://www.sec.gov/Archives/edgar/data/1775734/000164117225016351/ex3-1.htm" TargetMode="External"/><Relationship Id="rId15" Type="http://schemas.openxmlformats.org/officeDocument/2006/relationships/hyperlink" Target="https://www.sec.gov/Archives/edgar/data/1775734/000149315226000893/ex3-1.htm" TargetMode="External"/><Relationship Id="rId16" Type="http://schemas.openxmlformats.org/officeDocument/2006/relationships/hyperlink" Target="https://www.sec.gov/Archives/edgar/data/1775734/000149315226016035/ex3-1.htm" TargetMode="External"/><Relationship Id="rId17" Type="http://schemas.openxmlformats.org/officeDocument/2006/relationships/hyperlink" Target="https://www.sec.gov/Archives/edgar/data/1775734/000149315226033069/ex3-1.htm" TargetMode="External"/><Relationship Id="rId18" Type="http://schemas.openxmlformats.org/officeDocument/2006/relationships/hyperlink" Target="https://www.sec.gov/Archives/edgar/data/1775734/000119312523162954/d504781dex32.htm" TargetMode="External"/><Relationship Id="rId19" Type="http://schemas.openxmlformats.org/officeDocument/2006/relationships/hyperlink" Target="https://www.sec.gov/Archives/edgar/data/1775734/000119312523162954/d504781dex107.htm" TargetMode="External"/><Relationship Id="rId20" Type="http://schemas.openxmlformats.org/officeDocument/2006/relationships/hyperlink" Target="https://www.sec.gov/Archives/edgar/data/1775734/000149315226013672/ex10-1.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3006</Words>
  <Characters>16303</Characters>
  <CharactersWithSpaces>19364</CharactersWithSpaces>
  <Paragraphs>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