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805"/>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2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Dallas, </w:t>
      </w:r>
      <w:bookmarkStart w:id="11" w:name="xdx_90B_edei--EntityAddressStateOrProvin"/>
      <w:bookmarkEnd w:id="11"/>
      <w:r>
        <w:rPr>
          <w:rFonts w:ascii="Times New Roman;Times;Serif" w:hAnsi="Times New Roman;Times;Serif"/>
          <w:b/>
          <w:i w:val="false"/>
          <w:caps w:val="false"/>
          <w:smallCaps w:val="false"/>
          <w:sz w:val="20"/>
        </w:rPr>
        <w:t xml:space="preserve">Texas </w:t>
      </w:r>
      <w:bookmarkStart w:id="12" w:name="xdx_90B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4_edei--CityAreaCode_c20260805__20"/>
      <w:bookmarkEnd w:id="13"/>
      <w:r>
        <w:rPr>
          <w:rFonts w:ascii="Times New Roman;Times;Serif" w:hAnsi="Times New Roman;Times;Serif"/>
          <w:b/>
          <w:i w:val="false"/>
          <w:caps w:val="false"/>
          <w:smallCaps w:val="false"/>
          <w:sz w:val="20"/>
        </w:rPr>
        <w:t xml:space="preserve">(214) </w:t>
      </w:r>
      <w:bookmarkStart w:id="14" w:name="xdx_903_edei--LocalPhoneNumber_c20260805"/>
      <w:bookmarkEnd w:id="14"/>
      <w:r>
        <w:rPr>
          <w:rFonts w:ascii="Times New Roman;Times;Serif" w:hAnsi="Times New Roman;Times;Serif"/>
          <w:b/>
          <w:i w:val="false"/>
          <w:caps w:val="false"/>
          <w:smallCaps w:val="false"/>
          <w:sz w:val="20"/>
        </w:rPr>
        <w:t>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2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30"/>
        <w:gridCol w:w="60"/>
        <w:gridCol w:w="1092"/>
        <w:gridCol w:w="60"/>
        <w:gridCol w:w="2063"/>
      </w:tblGrid>
      <w:tr>
        <w:trPr/>
        <w:tc>
          <w:tcPr>
            <w:tcW w:w="69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805"/>
            <w:bookmarkEnd w:id="19"/>
            <w:r>
              <w:rPr>
                <w:rFonts w:ascii="Times New Roman;Times;Serif" w:hAnsi="Times New Roman;Times;Serif"/>
                <w:b w:val="false"/>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805__2"/>
            <w:bookmarkEnd w:id="20"/>
            <w:r>
              <w:rPr>
                <w:rFonts w:ascii="Times New Roman;Times;Serif" w:hAnsi="Times New Roman;Times;Serif"/>
                <w:b w:val="false"/>
                <w:i w:val="false"/>
                <w:caps w:val="false"/>
                <w:smallCaps w:val="false"/>
                <w:sz w:val="20"/>
              </w:rPr>
              <w:t>BENF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Nasdaq Stock Market LLC</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Security12bTitle_c20260805"/>
            <w:bookmarkEnd w:id="22"/>
            <w:r>
              <w:rPr>
                <w:rFonts w:ascii="Times New Roman;Times;Serif" w:hAnsi="Times New Roman;Times;Serif"/>
                <w:b w:val="false"/>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TradingSymbol_c20260805__2"/>
            <w:bookmarkEnd w:id="23"/>
            <w:r>
              <w:rPr>
                <w:rFonts w:ascii="Times New Roman;Times;Serif" w:hAnsi="Times New Roman;Times;Serif"/>
                <w:b w:val="false"/>
                <w:i w:val="false"/>
                <w:caps w:val="false"/>
                <w:smallCaps w:val="false"/>
                <w:sz w:val="20"/>
              </w:rPr>
              <w:t>BENFW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ExchangeName_c2026"/>
            <w:bookmarkEnd w:id="24"/>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27, 2023, Beneficient, a Nevada corporation (the “Company”), entered into a Standby Equity Purchase Agreement (the “SEPA”) with YA II PN, Ltd. (“Yorkville”), whereby the Company had the right, but not the obligation, to sell to Yorkville up to $250.0 million of Class A common stock, par value $0.001 per share (the “Class A common stock”), at the Company’s request any time during the commitment period commencing on June 27, 2023 and terminating on the 36-month anniversary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an amended and restated SEPA (such agreement, the “A&amp;R SEPA”), which provides that (i) the Company has the right, but not the obligation, to sell to Yorkville up to $100.0 million of Class A common stock on the terms and conditions set forth therein and (ii) Yorkville will advance to the Company the principal amount of $4.0 million evidenced by promissory notes convertible into shares of Class A common stock (each, a “Promissory Note” and together, the “Promissory Notes”). On June 30, 2026, the Company issued a Promissory Note to Yorkville in the aggregate principal amount of $2.0 million, subject to an original issue discount of 5%, which resulted in gross proceeds to the Company of approximately $1.8 million (such issuance, the “First Closing”), which was received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5, 2026, the Company issued a second Promissory Note to Yorkville in the aggregate principal amount of $2.0 million, subject to an original issue discount of 5%, which resulted in gross proceeds to the Company of approximately $1.8 million, which was received on August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will mature on June 30, 2027 (the “Maturity Date”). The Promissory Notes bear interest at 5.0% per annum, subject to a potential increase to 18.0% per annum (or the maximum amount permitted by applicable law) upon the occurrence of an Event of Default (as defined in the Promissory Notes), for so long as such Event of Default remains uncured.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are convertible at the option of the holder into Class A common stock equal to the applicable Conversion Amount (as defined below) divided by the Conversion Price. The “Conversion Price” means, as of any conversion, the lower of (a) $5.6064, which such price was 150% of the VWAP reported by Bloomberg on the trading day immediately prior to the date of the First Closing, or (b) 92.0% of the lowest daily VWAP of the Class A common stock during the five trading days immediately prior to such conversion. The “Floor Price” (solely with respect to the variable component of the Conversion Price) is $0.89 per share of Class A common stock, subject to the Company’s right to further reduce the Floor Price upon written notice to Yorkville. The Promissory Notes may be converted in whole or in part, at any time and from time to time, subject to the Exchange Cap (as defined in the A&amp;R SEPA). Notwithstanding the Exchange Cap and assuming interest at 5%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A&amp;R SEPA and the Promissory Notes were described under Item 9B of the Company’s Annual Report on Form 10-K filed with the Securities and Exchange Commission on June 30, 2026, which description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A&amp;R SEPA and the form of Promissory Note do not purport to be complete and are qualified in their entirety by reference to the full text of such documents, which are incorporated by reference as Exhibits 10.1 and 10.2, respectively,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8"/>
        <w:gridCol w:w="60"/>
        <w:gridCol w:w="9347"/>
      </w:tblGrid>
      <w:tr>
        <w:trPr/>
        <w:tc>
          <w:tcPr>
            <w:tcW w:w="79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79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Standby Equity Purchase Agreement by and between Beneficient and YA II PN, Ltd., dated June 26, 2026 (incorporated by reference to Exhibit 10.1 to the Company’s Current Report on Form 8-K filed with the Securities and Exchange Commission on July 7, 2026).</w:t>
              </w:r>
            </w:hyperlink>
            <w:r>
              <w:rPr>
                <w:rFonts w:ascii="Times New Roman;Times;Serif" w:hAnsi="Times New Roman;Times;Serif"/>
                <w:b w:val="false"/>
                <w:i w:val="false"/>
                <w:caps w:val="false"/>
                <w:smallCaps w:val="false"/>
                <w:sz w:val="20"/>
              </w:rPr>
              <w:t xml:space="preserve"> </w:t>
            </w:r>
          </w:p>
        </w:tc>
      </w:tr>
      <w:tr>
        <w:trPr/>
        <w:tc>
          <w:tcPr>
            <w:tcW w:w="79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Promissory Note (incorporated by reference to Exhibit 4.12 to the Company’s Annual Report on Form 10-K filed with the Securities and Exchange Commission on June 30, 2026).</w:t>
              </w:r>
            </w:hyperlink>
            <w:r>
              <w:rPr>
                <w:rFonts w:ascii="Times New Roman;Times;Serif" w:hAnsi="Times New Roman;Times;Serif"/>
                <w:b w:val="false"/>
                <w:i w:val="false"/>
                <w:caps w:val="false"/>
                <w:smallCaps w:val="false"/>
                <w:sz w:val="20"/>
              </w:rPr>
              <w:t xml:space="preserve"> </w:t>
            </w:r>
          </w:p>
        </w:tc>
      </w:tr>
      <w:tr>
        <w:trPr/>
        <w:tc>
          <w:tcPr>
            <w:tcW w:w="79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r>
        <w:trPr/>
        <w:tc>
          <w:tcPr>
            <w:tcW w:w="79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Company agrees to furnish to the Securities and Exchange Commission a copy of any omitted schedule or exhibit upon request.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60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49315226032323/ex10-1.htm" TargetMode="External"/><Relationship Id="rId3" Type="http://schemas.openxmlformats.org/officeDocument/2006/relationships/hyperlink" Target="https://www.sec.gov/Archives/edgar/data/1775734/000177573426000018/ex412-formofconvertiblepro.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1255</Words>
  <Characters>6510</Characters>
  <CharactersWithSpaces>7786</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