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def14a.htm"/>
      <w:bookmarkStart w:id="1" w:name="ksformdef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305"/>
        <w:gridCol w:w="2405"/>
      </w:tblGrid>
      <w:tr>
        <w:trPr/>
        <w:tc>
          <w:tcPr>
            <w:tcW w:w="305" w:type="dxa"/>
            <w:tcBorders/>
            <w:vAlign w:val="center"/>
          </w:tcPr>
          <w:p>
            <w:pPr>
              <w:pStyle w:val="TableContents"/>
              <w:bidi w:val="0"/>
              <w:spacing w:before="0" w:after="283"/>
              <w:ind w:left="0" w:right="0" w:hanging="720"/>
              <w:jc w:val="left"/>
              <w:rPr>
                <w:caps w:val="false"/>
                <w:smallCaps w:val="false"/>
              </w:rPr>
            </w:pPr>
            <w:r>
              <w:rPr>
                <w:caps w:val="false"/>
                <w:smallCaps w:val="false"/>
              </w:rPr>
              <w:t xml:space="preserve">☐ </w:t>
            </w:r>
          </w:p>
        </w:tc>
        <w:tc>
          <w:tcPr>
            <w:tcW w:w="2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Preliminary Proxy Statement </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245"/>
        <w:gridCol w:w="68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8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Confidential, For Use of the Commission Only (As Permitted by Rule 14a-6(e)(2)) </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305"/>
        <w:gridCol w:w="2285"/>
      </w:tblGrid>
      <w:tr>
        <w:trPr/>
        <w:tc>
          <w:tcPr>
            <w:tcW w:w="30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Definitive Proxy Statement </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Definitive Additional Materials </w:t>
            </w:r>
          </w:p>
        </w:tc>
      </w:tr>
    </w:tbl>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245"/>
        <w:gridCol w:w="318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Soliciting Material under Rule 14a-12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BENEFICIENT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fee required. </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Fee paid previously with preliminary materials. </w:t>
            </w:r>
          </w:p>
        </w:tc>
      </w:tr>
    </w:tbl>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245"/>
        <w:gridCol w:w="834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Fee computed on table in exhibit required by Item 25(b) per Exchange Act Rules 14a-6(i)(1) and 0-11.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9550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657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Date: October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Beneficient: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Special Meeting of Stockholders (the “Special Meeting”) of Beneficient (the “Company,” “Beneficient,” “us,” “we” and “our”) will be held on Thursday, October 29, 2026 at 9:00 a.m., Central Time. The Special Meeting will be held at the offices of Haynes and Boone, LLP at 2801 N. Harwood Street, Suite 2300, Dallas, Texas 75201. During the Special Meeting, stockholders will be asked to consider and vote upon the following proposals: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purposes of Nasdaq Listing Rule 5635(d), the issuance of shares of the Company’s Class A common stock, par value $0.001 per share (“Class A Common Stock”), to YA II PN, Ltd. (“Yorkville”) pursuant to the Amended and Restated Standby Equity Purchase Agreement dated June 26, 2026 (the “A&amp;R SEPA”) and the convertible promissory notes in the original aggregate principal amount of $4.0 million issued thereunder (the “Promissory Notes”), which shares may represent more than 20% of the Company’s Class A Common Stock and Class B common stock, par value $0.001 per share (“Class B Common Stock” and together, with the Class A Common Stock, the “Common Stock”), outstanding as of the date of the A&amp;R SEPA (the “Yorkville Share Issuance Proposal”); and</w:t>
            </w:r>
          </w:p>
        </w:tc>
      </w:tr>
      <w:tr>
        <w:trPr/>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100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adjournment of the Special Meeting to a later date or dates, if necessary or appropriate, to permit further solicitation of proxies in the event that there are insufficient votes for the approval of the Yorkville Share Issuance Proposal (the “Adjournment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are referred to the accompanying proxy statement (the “Proxy Statement”) for more detailed information with respect to the matters to be considered at the Special Meeting. After careful consideration, </w:t>
      </w:r>
      <w:r>
        <w:rPr>
          <w:rFonts w:ascii="Times New Roman;Times;Serif" w:hAnsi="Times New Roman;Times;Serif"/>
          <w:b/>
          <w:i w:val="false"/>
          <w:caps w:val="false"/>
          <w:smallCaps w:val="false"/>
          <w:sz w:val="20"/>
        </w:rPr>
        <w:t>the Board recommends a vote “FOR” the Yorkville Share Issuance Proposal and “FOR” the Adjournment Proposal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(the “Board”) has fixed the close of business on Thursday, September 24, 2026 as the record date (the “Record Date”) for determining the stockholders entitled to notice of, and to vote at, the Special Meeting or any adjournments thereof. Only the stockholders of record of our Common Stock are entitled to receive notice of, and to vote at, the Special Meeting or any adjournments thereof. The 2,902,240 shares of Class A Common Stock issued to Yorkville under the A&amp;R SEPA from June 26, 2026 through the close of business on the Record Date, including 280,631 shares issued as payment of a commitment fee and 2,621,609 shares issued upon conversion of the Promissory Notes, are not entitled to vote on the Yorkville Share Issuance Proposal in accordance with Nasdaq Listing Rule 5635(d). The date of mailing this Notice of Meeting and Proxy Statement is on or about October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Special Meeting. Whether or not you expect to attend the Special Meeting, you are requested to read the enclosed Proxy Statement and to sign, date and return the accompanying proxy card or voting instruction form as soon as possible. This will assure your representation and a quorum for the transaction of business at the Special Meeting. If you attend the Special Meeting, the proxy will not be used if you so request by revoking it as described in the Proxy Statement. If you decide to attend the Special Meeting, you will be able to vote at the Special Meeting, even if you have previously submitted your proxy or voting instruction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Hard copies of the Company’s Proxy Statement to security holders in connection with the Special Meeting are being mailed to stockholders of record as of the close of business on Thursday, September 24, 2026, beginning on or about October 19, 2026. The Company’s Proxy Statement to security holders is also available at https://www.cstproxy.com/beneficient/sm2026.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have any questions about accessing materials or voting, please call 917-262-2373.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AND PARTICIPATION IN THE COMPANY’S AFFAIRS ARE IMPORTANT.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your name, even if you plan to attend the Special Meeting or any postponement or adjournment of the Special Meeting, we request that you vote by telephone, over the Internet, or complete, sign and mail your proxy card to ensure that your shares will be represented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the name of a broker, trust, bank or other nominee, and you receive notice of the Special Meeting through your broker or through another intermediary, please vote or complete and return the materials in accordance with the instructions provided to you by such broker or other intermediary or contact your broker directly in order to obtain a proxy issued to you by your nominee holder to attend the Special Meeting and vote at the Special Meeting. Failure to do so may result in your shares not being eligible to be voted by proxy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our Board,</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28" w:type="dxa"/>
          <w:right w:w="0" w:type="dxa"/>
        </w:tblCellMar>
      </w:tblPr>
      <w:tblGrid>
        <w:gridCol w:w="1955"/>
        <w:gridCol w:w="75"/>
      </w:tblGrid>
      <w:tr>
        <w:trPr/>
        <w:tc>
          <w:tcPr>
            <w:tcW w:w="19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James G. Silk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G. Silk</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95500"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95500" cy="657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 N. Saint Paul Street, Suite 4850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Dallas, Texas 75201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October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Beneficient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invited to attend the Special Meeting of Stockholders (the “Special Meeting”) of Beneficient (the “Company,” “Beneficient,” “us,” “we” and “our”) on Thursday, October 29, 2026, which will be held at the offices of Haynes and Boone, LLP at 2801 N. Harwood Street, Suite 2300, Dallas, Texas 75201, at 9:00 a.m., Central Time. You or your proxyholder will be able to attend the Special Meeting, vote your shares, and submit questions during the Special Meeting. Enclosed with this letter are your notice of Special Meeting of Stockholders, the accompanying proxy statement (the “Proxy Statement”) and proxy voting card. The Proxy Statement included with this notice discusses the proposals to be considered at the Special Meeting. Please review the voting materials at https://www.cstproxy.com/beneficient/sm2026.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Special Meeting, you will be asked to consider and vote upon the following proposals: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purposes of Nasdaq Listing Rule 5635(d), the issuance of shares of the Company’s Class A common stock, par value $0.001 per share (“Class A Common Stock”), to YA II PN, Ltd. (“Yorkville”) pursuant to the Amended and Restated Standby Equity Purchase Agreement dated June 26, 2026 (the “A&amp;R SEPA”) and the convertible promissory notes in the original aggregate principal amount of $4.0 million issued thereunder (the “Promissory Notes”), which shares may represent more than 20% of the Company’s Class A Common Stock and Class B common stock, par value $0.001 per share (“Class B Common Stock” and together, with the Class A Common Stock, the “Common Stock”), outstanding as of the date of the A&amp;R SEPA (the “Yorkville Share Issuance Proposal”); and</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adjournment of the Special Meeting to a later date or dates, if necessary or appropriate, to permit further solicitation of proxies in the event that there are insufficient votes for the approval of the Yorkville Share Issuance Proposal (the “Adjournment Proposal”).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(the “Board”) has fixed the close of business on Thursday, September 24, 2026 as the record date for determining the stockholders entitled to notice of and to vote at the Special Meeting and any adjournment and postponements thereof (the “Record Date”). Only holders of record of shares of our Common Stock on the Record Date are entitled to receive notice of the Special Meeting and to vote at the Special Meeting or at any postponement(s) or adjournment(s) of the Special Meeting. The 2,902,240 shares of Class A Common Stock issued to Yorkville under the A&amp;R SEPA from June 26, 2026 through the close of business on the Record Date, including 280,631 shares issued as payment of a commitment fee and 2,621,609 shares issued upon conversion of the Promissory Notes, are not entitled to vote on the Yorkville Share Issuance Proposal in accordance with Nasdaq Listing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urge you to review the accompanying material carefully and to promptly return the enclosed proxy card or voting instruction form. On the following pages, we provide answers to frequently asked questions about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vote is important. </w:t>
      </w:r>
      <w:r>
        <w:rPr>
          <w:rFonts w:ascii="Times New Roman;Times;Serif" w:hAnsi="Times New Roman;Times;Serif"/>
          <w:b/>
          <w:i w:val="false"/>
          <w:caps w:val="false"/>
          <w:smallCaps w:val="false"/>
          <w:sz w:val="20"/>
        </w:rPr>
        <w:t>Whether or not you expect to attend the Special Meeting, you are requested to read the enclosed Proxy Statement and to sign, date and return the accompanying proxy card or voting instruction form as soon as possible</w:t>
      </w:r>
      <w:r>
        <w:rPr>
          <w:rFonts w:ascii="Times New Roman;Times;Serif" w:hAnsi="Times New Roman;Times;Serif"/>
          <w:b w:val="false"/>
          <w:i w:val="false"/>
          <w:caps w:val="false"/>
          <w:smallCaps w:val="false"/>
          <w:sz w:val="20"/>
        </w:rPr>
        <w:t>. I encourage you to vote by telephone, over the Internet, or by marking, signing, dating and returning the enclosed proxy card so that your shares will be represented and voted at the Special Meeting, whether or not you plan to attend. If you decide to attend the Special Meeting, you will be able to vote at the Special Meeting, even if you have previously submitted your proxy or voting instruction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the name of a broker, trust, bank or other nominee, and you receive notice of the Special Meeting through your broker or through another intermediary, please vote or return the materials in accordance with the instructions provided to you by such broker or other intermediary or contact your broker directly in order to obtain a proxy issued to you by your nominee holder to attend the Special Meeting and vote at the Special Meeting. Failure to do so may result in your shares not being eligible to be voted by proxy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I urge you to submit your proxy as soon as possible, even if you currently plan to attend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ongoing support.</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955"/>
        <w:gridCol w:w="75"/>
      </w:tblGrid>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James G. Silk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G. Silk</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9005"/>
        <w:gridCol w:w="455"/>
      </w:tblGrid>
      <w:tr>
        <w:trPr/>
        <w:tc>
          <w:tcPr>
            <w:tcW w:w="900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005" w:type="dxa"/>
            <w:tcBorders/>
            <w:shd w:fill="CCEEFF" w:val="clear"/>
            <w:vAlign w:val="center"/>
          </w:tcPr>
          <w:p>
            <w:pPr>
              <w:pStyle w:val="TableContents"/>
              <w:bidi w:val="0"/>
              <w:spacing w:before="0" w:after="283"/>
              <w:jc w:val="left"/>
              <w:rPr/>
            </w:pPr>
            <w:hyperlink w:anchor="R_001">
              <w:r>
                <w:rPr>
                  <w:rStyle w:val="InternetLink"/>
                  <w:rFonts w:ascii="Times New Roman;Times;Serif" w:hAnsi="Times New Roman;Times;Serif"/>
                  <w:b w:val="false"/>
                  <w:i w:val="false"/>
                  <w:caps w:val="false"/>
                  <w:smallCaps w:val="false"/>
                  <w:sz w:val="20"/>
                </w:rPr>
                <w:t>QUESTIONS AND ANSWERS ABOUT THE SPECIAL MEETING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005" w:type="dxa"/>
            <w:tcBorders/>
            <w:shd w:fill="FFFFFF" w:val="clear"/>
            <w:vAlign w:val="center"/>
          </w:tcPr>
          <w:p>
            <w:pPr>
              <w:pStyle w:val="TableContents"/>
              <w:bidi w:val="0"/>
              <w:spacing w:before="0" w:after="283"/>
              <w:jc w:val="left"/>
              <w:rPr/>
            </w:pPr>
            <w:hyperlink w:anchor="R_002">
              <w:r>
                <w:rPr>
                  <w:rStyle w:val="InternetLink"/>
                  <w:rFonts w:ascii="Times New Roman;Times;Serif" w:hAnsi="Times New Roman;Times;Serif"/>
                  <w:b w:val="false"/>
                  <w:i w:val="false"/>
                  <w:caps w:val="false"/>
                  <w:smallCaps w:val="false"/>
                  <w:sz w:val="20"/>
                </w:rPr>
                <w:t>PROPOSAL 1: APPROVAL OF THE YORKVILLE SHARE ISSUANCE PROPOSAL</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005" w:type="dxa"/>
            <w:tcBorders/>
            <w:shd w:fill="CCEEFF" w:val="clear"/>
            <w:vAlign w:val="center"/>
          </w:tcPr>
          <w:p>
            <w:pPr>
              <w:pStyle w:val="TableContents"/>
              <w:bidi w:val="0"/>
              <w:spacing w:before="0" w:after="283"/>
              <w:jc w:val="left"/>
              <w:rPr/>
            </w:pPr>
            <w:hyperlink w:anchor="R_023">
              <w:r>
                <w:rPr>
                  <w:rStyle w:val="InternetLink"/>
                  <w:rFonts w:ascii="Times New Roman;Times;Serif" w:hAnsi="Times New Roman;Times;Serif"/>
                  <w:b w:val="false"/>
                  <w:i w:val="false"/>
                  <w:caps w:val="false"/>
                  <w:smallCaps w:val="false"/>
                  <w:sz w:val="20"/>
                </w:rPr>
                <w:t>Background for the Yorkville Share Issuance Proposal</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005" w:type="dxa"/>
            <w:tcBorders/>
            <w:shd w:fill="FFFFFF" w:val="clear"/>
            <w:vAlign w:val="center"/>
          </w:tcPr>
          <w:p>
            <w:pPr>
              <w:pStyle w:val="TableContents"/>
              <w:bidi w:val="0"/>
              <w:spacing w:before="0" w:after="283"/>
              <w:jc w:val="left"/>
              <w:rPr/>
            </w:pPr>
            <w:hyperlink w:anchor="R_024">
              <w:r>
                <w:rPr>
                  <w:rStyle w:val="InternetLink"/>
                  <w:rFonts w:ascii="Times New Roman;Times;Serif" w:hAnsi="Times New Roman;Times;Serif"/>
                  <w:b w:val="false"/>
                  <w:i w:val="false"/>
                  <w:caps w:val="false"/>
                  <w:smallCaps w:val="false"/>
                  <w:sz w:val="20"/>
                </w:rPr>
                <w:t>Reasons for Seeking Stockholder Approval</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005" w:type="dxa"/>
            <w:tcBorders/>
            <w:shd w:fill="CCEEFF" w:val="clear"/>
            <w:vAlign w:val="center"/>
          </w:tcPr>
          <w:p>
            <w:pPr>
              <w:pStyle w:val="TableContents"/>
              <w:bidi w:val="0"/>
              <w:spacing w:before="0" w:after="283"/>
              <w:jc w:val="left"/>
              <w:rPr/>
            </w:pPr>
            <w:hyperlink w:anchor="R_025">
              <w:r>
                <w:rPr>
                  <w:rStyle w:val="InternetLink"/>
                  <w:rFonts w:ascii="Times New Roman;Times;Serif" w:hAnsi="Times New Roman;Times;Serif"/>
                  <w:b w:val="false"/>
                  <w:i w:val="false"/>
                  <w:caps w:val="false"/>
                  <w:smallCaps w:val="false"/>
                  <w:sz w:val="20"/>
                </w:rPr>
                <w:t>Potential Consequences if the Yorkville Share Issuance Proposal is Not Approved</w:t>
              </w:r>
            </w:hyperlink>
          </w:p>
        </w:tc>
        <w:tc>
          <w:tcPr>
            <w:tcW w:w="45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005" w:type="dxa"/>
            <w:tcBorders/>
            <w:shd w:fill="FFFFFF" w:val="clear"/>
            <w:vAlign w:val="center"/>
          </w:tcPr>
          <w:p>
            <w:pPr>
              <w:pStyle w:val="TableContents"/>
              <w:bidi w:val="0"/>
              <w:spacing w:before="0" w:after="283"/>
              <w:jc w:val="left"/>
              <w:rPr/>
            </w:pPr>
            <w:hyperlink w:anchor="R_026">
              <w:r>
                <w:rPr>
                  <w:rStyle w:val="InternetLink"/>
                  <w:rFonts w:ascii="Times New Roman;Times;Serif" w:hAnsi="Times New Roman;Times;Serif"/>
                  <w:b w:val="false"/>
                  <w:i w:val="false"/>
                  <w:caps w:val="false"/>
                  <w:smallCaps w:val="false"/>
                  <w:sz w:val="20"/>
                </w:rPr>
                <w:t>Effect on Current Stockholders</w:t>
              </w:r>
            </w:hyperlink>
          </w:p>
        </w:tc>
        <w:tc>
          <w:tcPr>
            <w:tcW w:w="455" w:type="dxa"/>
            <w:tcBorders/>
            <w:shd w:fill="FFFF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005" w:type="dxa"/>
            <w:tcBorders/>
            <w:shd w:fill="CCEEFF" w:val="clear"/>
            <w:vAlign w:val="center"/>
          </w:tcPr>
          <w:p>
            <w:pPr>
              <w:pStyle w:val="TableContents"/>
              <w:bidi w:val="0"/>
              <w:spacing w:before="0" w:after="283"/>
              <w:jc w:val="left"/>
              <w:rPr/>
            </w:pPr>
            <w:hyperlink w:anchor="R_027">
              <w:r>
                <w:rPr>
                  <w:rStyle w:val="InternetLink"/>
                  <w:rFonts w:ascii="Times New Roman;Times;Serif" w:hAnsi="Times New Roman;Times;Serif"/>
                  <w:b w:val="false"/>
                  <w:i w:val="false"/>
                  <w:caps w:val="false"/>
                  <w:smallCaps w:val="false"/>
                  <w:sz w:val="20"/>
                </w:rPr>
                <w:t>Required Vote</w:t>
              </w:r>
            </w:hyperlink>
          </w:p>
        </w:tc>
        <w:tc>
          <w:tcPr>
            <w:tcW w:w="45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005" w:type="dxa"/>
            <w:tcBorders/>
            <w:shd w:fill="FFFFFF" w:val="clear"/>
            <w:vAlign w:val="center"/>
          </w:tcPr>
          <w:p>
            <w:pPr>
              <w:pStyle w:val="TableContents"/>
              <w:bidi w:val="0"/>
              <w:spacing w:before="0" w:after="283"/>
              <w:jc w:val="left"/>
              <w:rPr/>
            </w:pPr>
            <w:hyperlink w:anchor="R_028">
              <w:r>
                <w:rPr>
                  <w:rStyle w:val="InternetLink"/>
                  <w:rFonts w:ascii="Times New Roman;Times;Serif" w:hAnsi="Times New Roman;Times;Serif"/>
                  <w:b w:val="false"/>
                  <w:i w:val="false"/>
                  <w:caps w:val="false"/>
                  <w:smallCaps w:val="false"/>
                  <w:sz w:val="20"/>
                </w:rPr>
                <w:t>Board Recommendation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005" w:type="dxa"/>
            <w:tcBorders/>
            <w:shd w:fill="CCEEFF" w:val="clear"/>
            <w:vAlign w:val="center"/>
          </w:tcPr>
          <w:p>
            <w:pPr>
              <w:pStyle w:val="TableContents"/>
              <w:bidi w:val="0"/>
              <w:spacing w:before="0" w:after="283"/>
              <w:jc w:val="left"/>
              <w:rPr/>
            </w:pPr>
            <w:hyperlink w:anchor="R_029">
              <w:r>
                <w:rPr>
                  <w:rStyle w:val="InternetLink"/>
                  <w:rFonts w:ascii="Times New Roman;Times;Serif" w:hAnsi="Times New Roman;Times;Serif"/>
                  <w:b w:val="false"/>
                  <w:i w:val="false"/>
                  <w:caps w:val="false"/>
                  <w:smallCaps w:val="false"/>
                  <w:sz w:val="20"/>
                </w:rPr>
                <w:t>PROPOSAL 2: APPROVAL OF AN ADJOURNMENT OF THE SPECIAL MEETING</w:t>
              </w:r>
            </w:hyperlink>
          </w:p>
        </w:tc>
        <w:tc>
          <w:tcPr>
            <w:tcW w:w="45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005" w:type="dxa"/>
            <w:tcBorders/>
            <w:shd w:fill="FFFFFF" w:val="clear"/>
            <w:vAlign w:val="center"/>
          </w:tcPr>
          <w:p>
            <w:pPr>
              <w:pStyle w:val="TableContents"/>
              <w:bidi w:val="0"/>
              <w:spacing w:before="0" w:after="283"/>
              <w:jc w:val="left"/>
              <w:rPr/>
            </w:pPr>
            <w:hyperlink w:anchor="R_030">
              <w:r>
                <w:rPr>
                  <w:rStyle w:val="InternetLink"/>
                  <w:rFonts w:ascii="Times New Roman;Times;Serif" w:hAnsi="Times New Roman;Times;Serif"/>
                  <w:b w:val="false"/>
                  <w:i w:val="false"/>
                  <w:caps w:val="false"/>
                  <w:smallCaps w:val="false"/>
                  <w:sz w:val="20"/>
                </w:rPr>
                <w:t>Background of and Reasons for the Adjournment Proposal</w:t>
              </w:r>
            </w:hyperlink>
          </w:p>
        </w:tc>
        <w:tc>
          <w:tcPr>
            <w:tcW w:w="455" w:type="dxa"/>
            <w:tcBorders/>
            <w:shd w:fill="FFFF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005" w:type="dxa"/>
            <w:tcBorders/>
            <w:shd w:fill="CCEEFF" w:val="clear"/>
            <w:vAlign w:val="center"/>
          </w:tcPr>
          <w:p>
            <w:pPr>
              <w:pStyle w:val="TableContents"/>
              <w:bidi w:val="0"/>
              <w:spacing w:before="0" w:after="283"/>
              <w:jc w:val="left"/>
              <w:rPr/>
            </w:pPr>
            <w:hyperlink w:anchor="R_031">
              <w:r>
                <w:rPr>
                  <w:rStyle w:val="InternetLink"/>
                  <w:rFonts w:ascii="Times New Roman;Times;Serif" w:hAnsi="Times New Roman;Times;Serif"/>
                  <w:b w:val="false"/>
                  <w:i w:val="false"/>
                  <w:caps w:val="false"/>
                  <w:smallCaps w:val="false"/>
                  <w:sz w:val="20"/>
                </w:rPr>
                <w:t>Required Vote</w:t>
              </w:r>
            </w:hyperlink>
          </w:p>
        </w:tc>
        <w:tc>
          <w:tcPr>
            <w:tcW w:w="455" w:type="dxa"/>
            <w:tcBorders/>
            <w:shd w:fill="CCEEFF" w:val="clear"/>
            <w:vAlign w:val="center"/>
          </w:tcPr>
          <w:p>
            <w:pPr>
              <w:pStyle w:val="TableContents"/>
              <w:bidi w:val="0"/>
              <w:spacing w:before="0" w:after="283"/>
              <w:ind w:left="0" w:right="0" w:firstLine="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005" w:type="dxa"/>
            <w:tcBorders/>
            <w:shd w:fill="FFFFFF" w:val="clear"/>
            <w:vAlign w:val="center"/>
          </w:tcPr>
          <w:p>
            <w:pPr>
              <w:pStyle w:val="TableContents"/>
              <w:bidi w:val="0"/>
              <w:spacing w:before="0" w:after="283"/>
              <w:jc w:val="left"/>
              <w:rPr/>
            </w:pPr>
            <w:hyperlink w:anchor="R_032">
              <w:r>
                <w:rPr>
                  <w:rStyle w:val="InternetLink"/>
                  <w:rFonts w:ascii="Times New Roman;Times;Serif" w:hAnsi="Times New Roman;Times;Serif"/>
                  <w:b w:val="false"/>
                  <w:i w:val="false"/>
                  <w:caps w:val="false"/>
                  <w:smallCaps w:val="false"/>
                  <w:sz w:val="20"/>
                </w:rPr>
                <w:t>Board Recommendation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005" w:type="dxa"/>
            <w:tcBorders/>
            <w:shd w:fill="CCEEFF" w:val="clear"/>
            <w:vAlign w:val="center"/>
          </w:tcPr>
          <w:p>
            <w:pPr>
              <w:pStyle w:val="TableContents"/>
              <w:bidi w:val="0"/>
              <w:spacing w:before="0" w:after="283"/>
              <w:jc w:val="left"/>
              <w:rPr/>
            </w:pPr>
            <w:hyperlink w:anchor="R_033">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005" w:type="dxa"/>
            <w:tcBorders/>
            <w:shd w:fill="FFFFFF" w:val="clear"/>
            <w:vAlign w:val="center"/>
          </w:tcPr>
          <w:p>
            <w:pPr>
              <w:pStyle w:val="TableContents"/>
              <w:bidi w:val="0"/>
              <w:spacing w:before="0" w:after="283"/>
              <w:jc w:val="left"/>
              <w:rPr/>
            </w:pPr>
            <w:hyperlink w:anchor="R_034">
              <w:r>
                <w:rPr>
                  <w:rStyle w:val="InternetLink"/>
                  <w:rFonts w:ascii="Times New Roman;Times;Serif" w:hAnsi="Times New Roman;Times;Serif"/>
                  <w:b w:val="false"/>
                  <w:i w:val="false"/>
                  <w:caps w:val="false"/>
                  <w:smallCaps w:val="false"/>
                  <w:sz w:val="20"/>
                </w:rPr>
                <w:t>REQUIREMENTS FOR ADVANCE NOTIFICATION OF NOMINATIONS AND STOCKHOLDER PROPOSALS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005" w:type="dxa"/>
            <w:tcBorders/>
            <w:shd w:fill="CCEEFF" w:val="clear"/>
            <w:vAlign w:val="center"/>
          </w:tcPr>
          <w:p>
            <w:pPr>
              <w:pStyle w:val="TableContents"/>
              <w:bidi w:val="0"/>
              <w:spacing w:before="0" w:after="283"/>
              <w:jc w:val="left"/>
              <w:rPr/>
            </w:pPr>
            <w:hyperlink w:anchor="R_035">
              <w:r>
                <w:rPr>
                  <w:rStyle w:val="InternetLink"/>
                  <w:rFonts w:ascii="Times New Roman;Times;Serif" w:hAnsi="Times New Roman;Times;Serif"/>
                  <w:b w:val="false"/>
                  <w:i w:val="false"/>
                  <w:caps w:val="false"/>
                  <w:smallCaps w:val="false"/>
                  <w:sz w:val="20"/>
                </w:rPr>
                <w:t>OTHER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005" w:type="dxa"/>
            <w:tcBorders/>
            <w:shd w:fill="FFFFFF" w:val="clear"/>
            <w:vAlign w:val="center"/>
          </w:tcPr>
          <w:p>
            <w:pPr>
              <w:pStyle w:val="TableContents"/>
              <w:bidi w:val="0"/>
              <w:spacing w:before="0" w:after="283"/>
              <w:jc w:val="left"/>
              <w:rPr/>
            </w:pPr>
            <w:hyperlink w:anchor="R_036">
              <w:r>
                <w:rPr>
                  <w:rStyle w:val="InternetLink"/>
                  <w:rFonts w:ascii="Times New Roman;Times;Serif" w:hAnsi="Times New Roman;Times;Serif"/>
                  <w:b w:val="false"/>
                  <w:i w:val="false"/>
                  <w:caps w:val="false"/>
                  <w:smallCaps w:val="false"/>
                  <w:sz w:val="20"/>
                </w:rPr>
                <w:t>WHERE YOU CAN FIND ADDITIONAL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forward-looking statements within the meaning of the Private Securities Litigation Reform Act of 1995. All statements contained in this proxy statement that do not relate to matters of historical fact should be considered forward-looking statements, including without limitation statements regarding the Company’s intent or ability to raise additional capital pursuant to the Amended and Restated Standby Equity Purchase Agreement dated June 26, 2026 (the “A&amp;R SEPA”), our expectations regarding issuing shares and obtaining financing under the A&amp;R SEPA generally, the potential dilutive effects of any future issuances pursuant to the A&amp;R SEPA, and the impact of any future issuances pursuant to the A&amp;R SEPA on prevailing market prices for our Class A Common Stock, par value $0.001 per share (the “Class A Common Stock”). These statements are based on management’s current assumptions and are neither promises nor guarantees, but involve known and unknown risks, uncertainties and other important factors that may cause the Company’s actual results, performance or achievements to be materially different from any future results, performance or achievements expressed or implied by the forward-looking statements, including that the Yorkville Share Issuance Proposal (as defined herein) may not be approved by the Company’s stockholders. For other important factors that could cause actual results to differ materially from the forward-looking statements in this proxy statement, please see the risks and uncertainties identified under the heading “Risk Factors” in our Annual Report on Form 10-K for the year ended March 31, 2026, as updated by the Company’s Quarterly Reports on Form 10-Q, each of which is available on the Company’s website at www.trustben.com and on the Securities and Exchange Commission (“SEC”) website at www.sec.gov. All forward-looking statements reflect the Company’s beliefs and assumptions only as of the date of this proxy statement. The Company undertakes no obligation to update forward-looking statements to reflect future events or circumstances.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OCTOBER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(the “Proxy Statement”) is furnished to you by the Board of Directors (the “Board”) of Beneficient in connection with the solicitation of proxies for use at the special meeting of stockholders (the “Special Meeting”) to be held at the offices of Haynes and Boone, LLP at 2801 N. Harwood Street, Suite 2300, Dallas, Texas 75201, on Thursday, October 29, 2026 at 9:00 a.m., Central Time, for the purposes set forth in the accompanying Notice of Special Meeting of Stockholders (the “Notice”), and at any postponement(s), adjournment(s) or recess(es) thereof. Hard copies of this Proxy Statement, along with the Notice and either a proxy card or a voting instruction form, are being mailed to our stockholders of record as of the close of business on Thursday, September 24, 2026, beginning on or about October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in this Proxy Statement, we use the terms “Beneficient,” “we,” “our,” “us” and the “Company” to refer to Beneficient. In addition, unless the context otherwise requires, references to “stockholders” are to the holders of our Class A Common Stock and our Class B common stock, par value $0.001 per share (“Class B Common Stock” and together with the Class A Common Stock,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 the Special Meeting of Stockholders to be Held on October 29, 2026: Pursuant to the rules of the SEC, with respect to the Special Meeting, we have elected to utilize the “full set delivery” option of providing paper copies of all of our proxy materials by mail. The Notice of Special Meeting and Proxy Statement are also available at https://www.cstproxy.com/beneficient/sm2026.</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R_001"/>
      <w:bookmarkEnd w:id="2"/>
      <w:r>
        <w:rPr>
          <w:rFonts w:ascii="Times New Roman;Times;Serif" w:hAnsi="Times New Roman;Times;Serif"/>
          <w:b/>
          <w:i w:val="false"/>
          <w:caps w:val="false"/>
          <w:smallCaps w:val="false"/>
          <w:sz w:val="20"/>
        </w:rPr>
        <w:t>QUESTIONS AND ANSWERS ABOUT THE SPECIAL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purpose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you will be asked to act upon the matters outlined in the Notice, which include the following proposals: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purposes of Nasdaq Listing Rule 5635(d), the issuance of shares of Class A Common Stock to YA II PN, Ltd. (“Yorkville”) pursuant to the A&amp;R SEPA and the convertible promissory notes in the original aggregate principal amount of $4.0 million issued thereunder (the “Promissory Notes”), which shares may represent more than 20% of the Company’s outstanding Common Stock as of the date of the A&amp;R SEPA (the “Yorkville Share Issuance Proposal”); and</w:t>
            </w:r>
          </w:p>
        </w:tc>
      </w:tr>
      <w:tr>
        <w:trPr/>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100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adjournment of the Special Meeting to a later date or dates, if necessary or appropriate, to permit further solicitation of proxies in the event that there are insufficient votes for the approval of the Yorkville Share Issuance Proposal (the “Adjournment Proposal”).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these proposals, no other proposals will be presented for a vote at the Special Meeting.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the Company seeking stockholder approval of the Yorkville Share Issuance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requires us to obtain stockholder approval prior to the sale, issuance or potential issuance of Common Stock (or securities convertible into or exercisable for Common Stock) in connection with a transaction other than a public offering at a price less than the “minimum price” which either alone or together with sales by officers, directors or substantial stockholders of the Company equals 20% or more of the Common Stock or 20% or more of the voting power outstanding before the issuance. Under Nasdaq Listing Rule 5635(d), “minimum price” means a price that is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the A&amp;R SEPA and our ability to issue the shares of Class A Common Stock thereunder, including upon conversion of the Promissory Notes, in excess of 20% of our issued and outstanding Common Stock as of the date of the A&amp;R SEPA (the “Exchange Cap”) is in the best interests of the Company and its stockholders because the ability to sell shares of Class A Common Stock to Yorkville provides us with a reliable source of capital for general corporate purposes, which may include, but are not limited to, funding working capital, capital expenditures, operating expenses and the selective pursuit of business development opportunities. Furthermore, the A&amp;R SEPA provides the Company with future flexibility to enhance its liquidity in an opportunistic and efficient manner. Accordingly, our Board believes that providing the Company the flexibility to issue shares of Class A Common Stock in excess of the Exchange Cap is advisable and in the best interests of the Company and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consequences if the Yorkville Share Issuance Proposal is not approved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the Company’s stockholders to approve this proposal will prevent the Company from selling shares of Class A Common Stock to Yorkville in excess of the Exchange Cap. In addition, failure to obtain stockholder approval under the Promissory Notes would constitute an “amortization event” (as such term is defined in the Form of Promissory Note), which would accelerate amounts due under the Promissory Notes. Furthermore, if we are limited in our ability to raise additional capital under the A&amp;R SEPA, we may not be able to execute on our strategic plans, and we may need to seek alternative sources of capital to fund our operations, which may not be available to us on favorable terms, or at all. We can provide no assurance that we would be successful in raising funds in the future or that such funds could be raised at prices that would not create substantial dilution for our existing stockholders. If we are unable to raise additional capital, then we may have difficulty entering into liquidity transactions, which would lead to a decrease in revenues and adversely affect our operations and business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did the Company effect a reverse stock split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its listing on The Nasdaq Stock Market, LLC (“Nasdaq”), the Company effected a reverse stock split of its Common Stock at a ratio of eight (8) to one (1) and a simultaneous proportionate reduction in the authorized shares of each class of Common Stock as required by Nevada Revised Statutes Section 78.207. The Company’s Class A Common Stock commenced trading on a post-reverse stock split basis at market open on December 15, 2025. On January 2, 2026, the Company received notice from Nasdaq that the Company had regained compliance with Nasdaq Listing Rules 5550(a)(2) and 5560(a), and that the Company was therefore in compliance with The Nasdaq Capital Market’s listing requirements. Unless otherwise indicated, all share and per share amounts have been adjusted retroactively to reflect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 is required to approve each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Yorkville Share Issuance Proposal</w:t>
      </w:r>
      <w:r>
        <w:rPr>
          <w:rFonts w:ascii="Times New Roman;Times;Serif" w:hAnsi="Times New Roman;Times;Serif"/>
          <w:b w:val="false"/>
          <w:i w:val="false"/>
          <w:caps w:val="false"/>
          <w:smallCaps w:val="false"/>
          <w:sz w:val="20"/>
        </w:rPr>
        <w:t>: The approval of the Yorkville Share Issuance Proposal requires the affirmative vote of a majority of the votes cast at the Special Meeting. The shares of Class A Common Stock issued to Yorkville under the A&amp;R SEPA, including upon conversion of the Promissory Notes, from June 26, 2026 through the close of business on the record date for determining the stockholders entitled to notice of and to vote at the Special Meeting and any adjournment and postponements thereof (the “Record Date”) are not entitled to vote on the Yorkville Share Issuance Proposal in accordance with Nasdaq Listing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terms of the Yorkville Share Issuance Proposal have been approved by the Board. We expect that the directors and executive officers will vote all their shares in favor of each of the Yorkville Share Issuance Proposal and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Adjournment Proposal</w:t>
      </w:r>
      <w:r>
        <w:rPr>
          <w:rFonts w:ascii="Times New Roman;Times;Serif" w:hAnsi="Times New Roman;Times;Serif"/>
          <w:b w:val="false"/>
          <w:i w:val="false"/>
          <w:caps w:val="false"/>
          <w:smallCaps w:val="false"/>
          <w:sz w:val="20"/>
        </w:rPr>
        <w:t>: The approval of the Adjournment Proposal requires the affirmative vote of a majority of the votes cast at the Special Meeting.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entitled to vote at the Special Meeting, and how many votes do they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including holders of our Common Stock, at the close of business on the Record Date may vote at the Special Meeting. There were 18,957,701 shares of Class A Common Stock and 29,908 shares of Class B Common Stock outstanding on the Record Date. The 2,902,240 shares of Class A Common Stock issued to Yorkville under the A&amp;R SEPA from June 26, 2026 through the close of business on the Record Date, including 280,631 shares issued as payment of a commitment fee and 2,621,609 shares issued upon conversion of the Promissory Notes, are not entitled to vote on the Yorkville Share Issuance Proposal in accordance with Nasdaq Listing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recommend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a vote “FOR” the Yorkville Share Issuance Proposal and “FOR”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is a person you appoint to vote on your behalf. By using the methods discussed below, you will be appointing James G. Silk or David B. Rost as your proxy. The proxy agent will vote on your behalf and will have the authority to appoint a substitute to act as proxy. If you are a “street name” holder, you must obtain a proxy from your broker or nominee in order to vote your stock at the Special Meeting. If you are unable to attend the Special Meeting, please vote by proxy so that your shares may be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attend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on Thursday, October 29, 2026 at 9:00 a.m., Central Time, at the offices of Haynes and Boone, LLP at 2801 N. Harwood Street, Suite 2300, Dallas, Texas 75201. Only our stockholders of record as of the Record Date and invited guests of the Company will be permitted to attend the Special Meeting. In order to be admitted to the Special Meeting, you must present a government-issued form of picture identification. Your proxy card enclosed with this Proxy Statement will ask you to indicate if you intend to attend the Special Meeting; please complete that section so that we may plan accordingly. If you are a stockholder of record, your name will be checked against our list of stockholders of record on the Record Date. If your shares are held in a stock brokerage account or by a bank or other nominee, you are considered the beneficial owner of shares held in “street name,” and the proxy materials are being forwarded to you by your broker, bank or nominee, which is considered, with respect to those shares, the stockholder of record. As a result, your name does not appear on our list of stockholders. If your shares are held in “street name,” in order to be admitted to the Special Meeting, in addition to a voting instruction form and government-issued form of picture identification, you should bring with you a letter or account statement showing that you were the beneficial owner of the shares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conducted in accordance with the Rules of Conduct established by the Company and posted on the investor relations page of our corporate website prior to the Special Meeting. Stockholders are encouraged to arrive early to complete registration and security procedures. Admission after commencement of the Special Meeting may be 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there be a question and answer session during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Special Meeting, we will hold a Q&amp;A session, during which we intend to answer appropriate questions that are pertinent to the meeting matters. The Company will endeavor to answer as many questions submitted by stockholders as time permits. Each stockholder is limited to no more than two questions. Questions should be succinct and pertinent to the Special Meeting. The Q&amp;A session will be conducted in accordance with the Rules of Conduct of the Special Meeting. We will not address questions that are, among other things:</w:t>
      </w:r>
    </w:p>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185"/>
        <w:gridCol w:w="401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irrelevant to the business of the Special Meeting;</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to material non-public information of the Company, including the status or results of our business since our last Quarterly Report on Form 10-Q;</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to any pending, threatened or ongoing litigation;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to personal grievances;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derogatory references to individuals or that are otherwise in bad taste;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repetitious of questions already submitted by another stockholder;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excess of the two question limit;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stockholder’s personal or business interests;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 of order or not otherwise suitable for the conduct of the Special Meeting as determined by the Chairperson or Corporate Secretary in their reasonable judgment.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my voting rights under the Company’s dual class equity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for a dual class common stock structure consisting of Class A Common Stock and Class B Common Stock. The rights of holders of our Class A Common Stock and our Class B Common Stock are identical, except with respect to voting rights, conversion rights and certain transfer restrictions applicable to our Class B Common Stock. With respect to each proposal to come before the stockholders at the Special Meeting, each share of Class A Common Stock is entitled to one vote, and each share of Class B Common Stock is entitled to ten votes. As of the Record Date, there were (i) 18,957,701 shares of Class A Common Stock outstanding, representing 99.8% of our total equity ownership and 98.4% of the total voting power of our outstanding Common Stock, and (ii) 29,908 shares of Class B Common Stock outstanding, representing 0.2% of our total equity ownership and 1.6% of the total voting power of our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of the mailing of this Proxy Statement, our Class A Common Stock was listed on The Nasdaq Capital Market under the symbol “BENF.” There is no public trading market for our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a stockholder of record and 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Stockholders of Record. </w:t>
      </w:r>
      <w:r>
        <w:rPr>
          <w:rFonts w:ascii="Times New Roman;Times;Serif" w:hAnsi="Times New Roman;Times;Serif"/>
          <w:b w:val="false"/>
          <w:i w:val="false"/>
          <w:caps w:val="false"/>
          <w:smallCaps w:val="false"/>
          <w:sz w:val="20"/>
        </w:rPr>
        <w:t>If your shares are registered directly in your name with Continental Stock Transfer &amp; Trust Company, our stock transfer agent, you are considered the stockholder of record with respect to those shares. The Notice has been sent directly to you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Beneficial Owners. </w:t>
      </w:r>
      <w:r>
        <w:rPr>
          <w:rFonts w:ascii="Times New Roman;Times;Serif" w:hAnsi="Times New Roman;Times;Serif"/>
          <w:b w:val="false"/>
          <w:i w:val="false"/>
          <w:caps w:val="false"/>
          <w:smallCaps w:val="false"/>
          <w:sz w:val="20"/>
        </w:rPr>
        <w:t>If your shares are held in a stock brokerage account or by a bank or other nominee, the nominee is considered the record holder of those shares. You are considered the beneficial owner of these shares, and your shares are held in “street name.” A notice or Proxy Statement and voting instruction form have been forwarded to you by your nominee. As the beneficial owner, you have the right to direct your nominee concerning how to vote your shares by using the voting instructions they included in the mailing or by following their instructions for voting by telephone or the Internet.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broker non-vote?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occur when shares are held indirectly through a broker, bank or other intermediary on behalf of a beneficial owner (referred to as held in “street name”) and the broker submits a proxy but does not vote for a matter because the broker has not received voting instructions from the beneficial owner and (i) the broker does not have discretionary voting authority on the matter or (ii) the broker chooses not to vote on a matter for which it has discretionary voting authority.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abstentions and broker non-votes treated for purposes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are included in the determination of the number of shares of Common Stock, to the extent issued prior to the Record Date, present at the Special Meeting for determining a quorum at the meeting. An abstention is not an “affirmative vote,” but an abstaining stockholder is considered “entitled to vote” at the Special Meeting. Abstentions will have no effect on either the Yorkville Share Issuance Proposal or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and you do not provide the broker, bank, trustee or other nominee that holds your shares with voting instructions, the broker or other nominee will determine if it has the discretionary authority to vote on the particular matter. Under applicable rules, brokers or other nominees have discretionary voting power with respect to proposals that are considered “routine,” but not with respect to “non-routine” proposals. If a broker lacks discretionary voting power and you fail to provide voting instructions for your shares, a broker non-vote occurs. Each of the Yorkville Share Issuance Proposal and the Adjournment Proposal is considered a “non-routine” proposal, so your broker does not have discretionary voting power with respect to your shares. Therefore, if you do not provide voting instructions to your broker, your broker may not vote your shares with respect to these proposals. Broker non-votes will be included in the determination of the number of shares of Common Stock present at the Special Meeting for determining a quorum at the meeting. Broker non-votes will have no effect on either the Yorkville Share Issuance Proposal or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urge you to direct your bank, broker or other nominee how to vote by returning your voting materials as instructed or by obtaining a proxy from your broker or other nominee in order to vote your shares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am a beneficial owner of shares, can my brokerage firm vote my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and do not vote via the Internet or telephone or by returning a signed voting instruction form to your broker, your shares may be voted only with respect to so-called “routine” matters where your broker has discretionary voting authority over your shares. Under the applicable rules, each of the Yorkville Share Issuance Proposal and the Adjournment Proposal is considered a “non-routine” matter. Accordingly, brokers will not be permitted to exercise discretionary voting authority to vote your shares on the Yorkville Share Issuance Proposal or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 my shares in person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you must satisfy the requirements for admission to the Special Meeting. Then, if you are a stockholder of record, you may vote by ballot at the Special Meeting. If you are a beneficial owner of shares, you may vote shares held in “street name” at the Special Meeting only if you bring to the Special Meeting a signed proxy from the record holder (your broker, bank or other nominee) giving you the right to vote the shares, which must be submitted with your ballot at the Special Meeting. Even if you plan to attend the Special Meeting, we encourage you to vote in advance so that your vote will be counted in case you later decide not to attend the Special Meeting, as well as to facilitate the tabulation of votes.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 my shares without attending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over the Internet, by telephone or by mail. Please be aware that if you vote by telephone or over the Internet, you may incur costs such as telephone and Internet access charges for which you will be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Vote by Internet.</w:t>
      </w:r>
      <w:r>
        <w:rPr>
          <w:rFonts w:ascii="Times New Roman;Times;Serif" w:hAnsi="Times New Roman;Times;Serif"/>
          <w:b w:val="false"/>
          <w:i w:val="false"/>
          <w:caps w:val="false"/>
          <w:smallCaps w:val="false"/>
          <w:sz w:val="20"/>
        </w:rPr>
        <w:t xml:space="preserve"> You can vote via the Internet at www.cstproxyvote.com. You will need to use the control number appearing on your proxy card to vote via the Internet. You can use the Internet to transmit your voting instructions up until 11:59 p.m. Central Time on October 28, 2026, which is the day before the meeting date. Internet voting is available 24 hours a day. If you vote via the Internet, you do not need to vote by telephone or return a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Vote by Telephone.</w:t>
      </w:r>
      <w:r>
        <w:rPr>
          <w:rFonts w:ascii="Times New Roman;Times;Serif" w:hAnsi="Times New Roman;Times;Serif"/>
          <w:b w:val="false"/>
          <w:i w:val="false"/>
          <w:caps w:val="false"/>
          <w:smallCaps w:val="false"/>
          <w:sz w:val="20"/>
        </w:rPr>
        <w:t xml:space="preserve"> You can vote by telephone by calling the toll-free telephone number 1-866-894-0536. You will need to use the control number appearing on your proxy card to vote by telephone. You may transmit your voting instructions from any touch-tone telephone up until 11:59 p.m. Central Time on October 28, 2026, which is the day before the meeting date. Telephone voting is available 24 hours a day. If you vote by telephone, you do not need to vote over the Internet or return a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Vote by Mail.</w:t>
      </w:r>
      <w:r>
        <w:rPr>
          <w:rFonts w:ascii="Times New Roman;Times;Serif" w:hAnsi="Times New Roman;Times;Serif"/>
          <w:b w:val="false"/>
          <w:i w:val="false"/>
          <w:caps w:val="false"/>
          <w:smallCaps w:val="false"/>
          <w:sz w:val="20"/>
        </w:rPr>
        <w:t xml:space="preserve"> If you received a printed proxy card, you can vote by marking, dating and signing it, and returning it in the postage-paid envelope provided to Corporate Secretary, Beneficient, at 325 N. Saint Paul Street, Suite 4850, Dallas, Texas 75201. Please promptly mail your proxy card or voting instruction form to ensure that it is received prior to the closing of the polls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not a stockholder of record but hold shares through a broker, bank, trustee or nominee (i.e., in street name), you should provide proof of beneficial ownership as of the Record Date (such as your most recent account statement prior to the Record Date), a copy of the voting instruction form provided by your broker, bank, trustee or nominee, or similar evidence of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vote by any of the methods discussed above, you will be designating James G. Silk or David B. Rost, as your proxy, and they will vote your shares on your behalf as you indicate. Submitting a proxy will not affect your right to attend the Special Meeting and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the name of a bank, broker or other nominee, you will receive separate voting instructions from your bank, broker or other nominee describing how to vote your shares. The availability of Internet voting will depend on the voting process of your bank, broker or other nominee. Please check with your bank, broker or other nominee and follow the voting instructions it provides.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my proxy vote my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your proxy will vote according to your instructions. If you choose to vote by mail and complete and return the enclosed proxy card but do not indicate your vote, your proxy will vote:</w:t>
      </w:r>
    </w:p>
    <w:p>
      <w:pPr>
        <w:pStyle w:val="TextBody"/>
        <w:bidi w:val="0"/>
        <w:spacing w:before="0" w:after="0"/>
        <w:ind w:left="0" w:right="0" w:hanging="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85"/>
        <w:gridCol w:w="414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14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Yorkville Share Issuance Proposal;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41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14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Adjournment Proposal.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bring any other matter for a vote at the Special Meeting, and we do not know of anyone else who intends to do so. Your proxies are authorized to vote on your behalf, however, using their best judgment, on any other business that properly comes before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the name of a bank, broker or other nominee, you will receive separate voting instructions from your bank, broker or other nominee describing how to vote your shares. The availability of Internet voting will depend on the voting process of your bank, broker or other nominee. Please check with your bank, broker or other nominee and follow the voting instructions your bank, broker or other nominee provides.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under the applicable rules, each of the Yorkville Share Issuance Proposal and the Adjournment Proposal is considered to be a “non-routine” matter. Accordingly, brokers will not have discretionary authority to vote on either the Yorkville Share Issuance Proposal or the Adjournment Proposal.</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change my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may revoke your proxy at any time before your shares are voted at the Special Meeting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Notifying General Counsel, David B. Rost, in writing at 325 N. Saint Paul Street, Suite 4850, Dallas, Texas 75201, that you are revoking your proxy before the closing of the polls;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Submitting a proxy at a later date via the Internet, or by signing and delivering a proxy card relating to the same shares and bearing a later date than the date of the previous proxy prior to the vote at the Special Meeting, in which case your later-submitted proxy will be recorded and your earlier proxy revoked;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Attending and voting by ballot at the Special Meeting.</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counts the 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votes will be tabulated by the inspector of election appointed for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holding at least a majority of the voting power of the Company’s Common Stock, represented in person or by proxy (regardless of whether the proxy has authority to vote on all matters), are necessary to constitute a quorum for the transaction of business at the Special Meeting. If you choose to have your shares represented by proxy at the Special Meeting, you will be considered part of the quorum. Both abstentions and broker non-votes are counted as present for the purpose of determining the presence of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I have any dissenters’ or appraisal rights or cumulative voting rights with respect to any of the matters to be voted on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None of our stockholders have any dissenters’ or appraisal rights or cumulative voting rights with respect to the matters to be voted on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publish the voting results of the Special Meeting in a Current Report on Form 8-K, which it expects to file with the SEC within four business days following the date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above in this “Question and Answer” format is for your convenience only and is merely a summary of the information contained in this Proxy Statement. We urge you to carefully read this entire Proxy Statement, including the documents we refer to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shares of Common Stock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there were 18,957,701 shares of Class A Common Stock and 29,908 shares of Class B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Board encourages stockholders to attend the Special Meeting. Whether or not you plan to attend, you are urged to submit your proxy. Prompt response will greatly facilitate arrangements for the meeting and your cooperation will be appreciated.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R_002"/>
      <w:bookmarkEnd w:id="3"/>
      <w:r>
        <w:rPr>
          <w:rFonts w:ascii="Times New Roman;Times;Serif" w:hAnsi="Times New Roman;Times;Serif"/>
          <w:b/>
          <w:i w:val="false"/>
          <w:caps w:val="false"/>
          <w:smallCaps w:val="false"/>
          <w:sz w:val="20"/>
        </w:rPr>
        <w:t>PROPOSAL 1: APPROVAL OF THE YORKVILLE SHARE ISSUANCE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our stockholders will be asked to approve, for purposes of Nasdaq Listing Rule 5635(d), the issuance of shares of our Class A Common Stock to Yorkville pursuant to the A&amp;R SEPA, including under the Promissory Notes, in excess of the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R_023"/>
      <w:bookmarkEnd w:id="4"/>
      <w:r>
        <w:rPr>
          <w:rFonts w:ascii="Times New Roman;Times;Serif" w:hAnsi="Times New Roman;Times;Serif"/>
          <w:b/>
          <w:i w:val="false"/>
          <w:caps w:val="false"/>
          <w:smallCaps w:val="false"/>
          <w:sz w:val="20"/>
        </w:rPr>
        <w:t>Background for the Yorkville Share Issuance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entered into the original Standby Equity Purchase Agreement with Yorkville, whereby the Company had the right, but not the obligation, to sell to Yorkville up to $250.0 million of Class A Common Stock any time during the commitment period commencing on June 27, 2023 and terminating on the 36-month anniversary of such date. On June 26, 2026, the Company entered into the A&amp;R SEPA, which provides that (i) the Company has the right, but not the obligation, to sell to Yorkville up to $100.0 million of Class A Common Stock and (ii) Yorkville will advance to the Company the principal amount of $4.0 million evidenced by Promissory Notes. On each of June 30, 2026 and August 5, 2026, the Company issued a Promissory Note to Yorkville each in the aggregate principal amount of $2.0 million for aggregate gross proceeds of $3.8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issuance and sale by the Company to Yorkville under the A&amp;R SEPA (an “Advance”) is subject to a maximum limit equal to 100% of the average aggregate volume traded of the Company’s Class A Common Stock on Nasdaq for the five trading days immediately preceding an Advance Notice (as defined in the A&amp;R SEPA). The shares will be issued and sold to Yorkville at a per share price equal to, at the election of the Company as specified in the relevant Advance Notice: (i) 96% of the Market Price (as defined below) for any period commencing on the receipt of the Advance Notice by Yorkville and ending at 4:00 p.m. New York City time on the applicable Advance Notice date (the “Option 1 Pricing Period”), or (ii) 97% of the Market Price for any three consecutive trading days commencing on the Advance Notice date (the “Option 2 Pricing Period,” and each of the Option 1 Pricing Period and the Option 2 Pricing Period, a “Pricing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Market Price” is defined as, for any Option 1 Pricing Period, the daily volume weighted average price (“VWAP”) of the Class A Common Stock on Nasdaq during the Option 1 Pricing Period, and for any Option 2 Pricing Period, the lowest daily VWAP of the Class A Common Stock on Nasdaq during the Option 2 Pricing Period. The Advances are subject to certain limitations, including that Yorkville cannot purchase any shares that would result in it beneficially owning more than 4.99% of the Company’s outstanding Class A Common Stock at the time of an Advance (the “Ownership Limitation”) or acquiring, since the date of the A&amp;R SEPA, more than the Exchange Cap, which is 2,902,241 shares of Class A Common Stock, unless stockholder approval is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an Advance Notice where the Company selects an Option 1 Pricing Period, if the total number of shares of Class A Common Stock traded on Nasdaq during the applicable Pricing Period is less than the Volume Threshold (as defined below), then the number of shares of Class A Common Stock issued and sold pursuant to such Advance Notice will be reduced to the greater of (a) 30% of the trading volume of the Class A Common Stock on Nasdaq during the relevant Pricing Period as reported by Bloomberg L.P., or (b) the number of shares of Class A Common Stock sold by Yorkville during such Pricing Period, but in each case not to exceed the amount requested in the Advance Notice. “Volume Threshold” is defined as a number of shares of Class A Common Stock equal to the quotient of (a) the number of shares in the Advance Notice requested by the Company divided by (b) 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the Company has not delivered any Advance Notices under the A&amp;R SEPA, and accordingly, the full $100.0 million commitment amount remains available.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bear interest at 5.0% per annum, subject to a potential increase to 18.0% per annum (or the maximum amount permitted by applicable law) upon the occurrence of an Event of Default (as defined in the Promissory Note), for so long as such Event of Default remains uncured. The Promissory Notes will mature on June 30, 2027 (the “Maturity Date”), which may be extended at the option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are convertible at the option of the holder into Class A Common Stock equal to the applicable Conversion Amount (as defined below) divided by the Conversion Price. The “Conversion Price” means, as of any conversion, the lower of (a) $5.6064, which such price was 150% of the VWAP reported by Bloomberg on the trading day immediately prior to the date of the first closing, or (b) 92.0% of the lowest daily VWAP of the Class A Common Stock during the five trading days immediately prior to such conversion. The “Floor Price” (solely with respect to the variable component of the Conversion Price) is $0.89 per share of Class A Common Stock, subject to the Company’s right to further reduce the Floor Price upon written notice to Yorkville. The Promissory Notes may be converted in whole or in part, at any time and from time to time, subject to the Exchange Cap (as defined in the A&amp;R SEPA). Notwithstanding the Exchange Cap and assuming interest at 5.0% through the Maturity Date, the maximum number of shares issuable upon conversion of the Promissory Notes is 4,719,101. The Conversion Amount with respect to any requested conversion will equal the principal amount requested to be converted plus all accrued and unpaid interest on the Promissory Notes as of such conversion (the “Conversion Amount”). In addition, no conversion will be permitted to the extent that, after giving effect to such conversion, the holder together with certain related parties would beneficially own in excess of 4.99% of the Class A Common Stock outstanding immediately after giving effect to such conversion, subject to certain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provide the Company, subject to certain conditions, with an optional redemption right pursuant to which the Company, upon 10 trading days’ prior written notice to Yorkville (the “Redemption Notice”), may redeem in cash, in whole or in part, all amounts outstanding under the Promissory Notes prior to the Maturity Date; provided that the VWAP on the date such Redemption Notice is delivered is less than the Fixed Price (as defined in the Promissory Note) at the time of the Redemption Notice. The redemption amount shall be equal to the outstanding principal balance being redeemed by the Company, plus a prepayment premium of 5.0% of the principal amount being redeemed (the “Prepayment Premium”), plus all accrued and unpaid interest in respect of such redeemed principal amount; provided, however, that if the Company redeems the Promissory Notes within 90 days following the respective issuance date, no Prepayment Premium will be owed.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amortization events, including if (a) the daily VWAP of the Class A Common Stock is lower than the Floor Price for any five of seven consecutive trading days, (b) the Company has issued substantially all of the shares available under the A&amp;R SEPA Exchange Cap or (c) at any time after the Effectiveness Deadline (as defined in the Registration Rights Agreement entered into in connection with the A&amp;R SEPA), Yorkville is unable to use the Registration Statement (as defined in the Promissory Note) for a period of ten consecutive trading days, the Company will be required to make monthly cash payments equal to $1 million of the principal amounts then outstanding, plus any accrued and unpaid interest and a payment premium equal to 5.0% of such principal amount, beginning on the seventh trading day following such amortization event. Every month thereafter if the amortization event is not cured, an additional cash payment will be due on the same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June 29, 2026 through September 16, 2026, the Company issued an aggregate of 2,902,240 shares of Class A Common Stock to Yorkville under the A&amp;R SEPA, consisting of: (i) 280,631 shares of Class A Common Stock issued on June 29, 2026 as payment of a commitment fee, (ii) 37,778 shares of Class A Common Stock issued on August 7, 2026 upon conversion of approximately $100,548 aggregate principal amount of the Promissory Notes, (iii) 881,589 shares of Class A Common Stock issued on September 11, 2026 upon conversion of approximately $1,109,370 aggregate principal amount of the Promissory Notes, and (iv) 1,702,242 shares of Class A Common Stock issued on September 16, 2026 upon conversion of approximately $1,604,187 aggregate principal amount of the Promissory Notes.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SEPA Exchange Cap is 2,902,241 shares of Class A Common Stock. Accordingly, as of the date of this Proxy Statement, substantially all of the shares available under the Exchange Cap have been issued, with only one share remaining. Effective September 16, 2026, the Company and Yorkville entered into a letter agreement, pursuant to which Yorkville waived, on a one-time and limited basis, for the period beginning on September 16, 2026 and ending on October 31, 2026 (the “Waiver Period”), the requirement in Section 1(c) of the Promissory Note that the Company make any monthly cash payment that would become due if an “exchange cap event” as defined in the Promissory Note were deemed to have occurred solely as a result of the conversion notices delivered on September 16, 2026 (the “Limited Waiver”). Pursuant to the terms of the letter agreement, Yorkville also waived, on a one-time and limited basis, the existence of any and all “floor price events” as defined in the Promissory Note, until such time as Yorkville delivers written notice to the Company that a floor price event has occurred (the “Floor Price Waiver”). The Limited Waiver and the Floor Price Waiver suspended the timing of those payments during the Waiver Period only and did not forgive, reduce or extinguish any principal, payment premium, interest or other amount owing under the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2,902,240 shares of Class A Common Stock issued to Yorkville under the A&amp;R SEPA from June 26, 2026 through the close of business on the Record Date, including 280,631 shares issued as payment of a commitment fee and 2,621,609 shares issued upon conversion of the Promissory Notes, are not entitled to vote on the Yorkville Share Issuance Proposal in accordance with Nasdaq Listing Rule 5635(d).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A&amp;R SEPA and the Promissory Notes is not complete and is qualified in its entirety by reference to the A&amp;R SEPA and the Form of Promissory Note, copies of which are filed Exhibits 10.1 and 10.2, respectively, to our Current Report on Form 8-K filed with the SEC on July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R_024"/>
      <w:bookmarkEnd w:id="5"/>
      <w:r>
        <w:rPr>
          <w:rFonts w:ascii="Times New Roman;Times;Serif" w:hAnsi="Times New Roman;Times;Serif"/>
          <w:b/>
          <w:i w:val="false"/>
          <w:caps w:val="false"/>
          <w:smallCaps w:val="false"/>
          <w:sz w:val="20"/>
        </w:rPr>
        <w:t>Reasons for Seeking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requires us to obtain stockholder approval prior to the sale, issuance or potential issuance of Common Stock (or securities convertible into or exercisable for Common Stock) in connection with a transaction other than a public offering at a price less than the minimum price which either alone or together with sales by officers, directors or substantial stockholders of the company equals 20% or more of the Common Stock or 20% or more of the voting power outstanding before the issuance. Stockholder approval of this proposal will constitute stockholder approval for purposes of Nasdaq Listing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the A&amp;R SEPA, the Promissory Notes and our ability to issue the shares of Class A Common Stock thereunder in excess of the Exchange Cap are in the best interests of the Company and its stockholders because the ability to sell shares of Class A Common Stock to Yorkville provides us with a reliable source of capital for general corporate purposes, which may include, but is not limited to, funding working capital, capital expenditures, operating expenses and the selective pursuit of business development opportunities. Furthermore, the A&amp;R SEPA provides the Company with future flexibility to enhance its liquidity in an opportunistic and efficient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price of our Common Stock at any future date, and therefore cannot predict the number of shares of Class A Common Stock to be issued under the A&amp;R SEPA or whether the applicable price for any Advance Notice will be greater than the minimum price under the rules of Nasdaq. Therefore, we are seeking stockholder approval under this proposal to issue shares of Class A Common Stock in excess of the Exchange Cap, if necessary, to Yorkville under the terms of the A&amp;R SEPA and the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R_025"/>
      <w:bookmarkEnd w:id="6"/>
      <w:r>
        <w:rPr>
          <w:rFonts w:ascii="Times New Roman;Times;Serif" w:hAnsi="Times New Roman;Times;Serif"/>
          <w:b/>
          <w:i w:val="false"/>
          <w:caps w:val="false"/>
          <w:smallCaps w:val="false"/>
          <w:sz w:val="20"/>
        </w:rPr>
        <w:t>Potential Consequences if the Yorkville Share Issuance Proposal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the Company’s stockholders to approve this proposal will prevent the Company from selling Class A Common Stock to Yorkville in excess of the Exchange Cap. Additionally, failure to issue shares in excess of the Exchange Cap would constitute an “exchange cap event” under the Promissory Notes, which would accelerate amounts due to Yorkville under the Promissory Notes. Furthermore, if we are limited in our ability to raise additional capital under the A&amp;R SEPA, we may not be able to execute on our strategic plans, and we may need to seek alternative sources of capital to fund our operations, which may not be available to us on favorable terms, or at all. We can provide no assurance that we would be successful in raising funds in the future or that such funds could be raised at prices that would not create substantial dilution for our existing stockholders. If we are unable to raise additional capital, then we may have difficulty entering into liquidity transactions, which would lead to a decrease in revenues and adversely affect our operations and business plans. Accordingly, our Board believes that providing the Company the flexibility to issue shares of Class A Common Stock in excess of the Exchange Cap is advisable and in the best interests of the Company and our stockholders.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R_026"/>
      <w:bookmarkEnd w:id="7"/>
      <w:r>
        <w:rPr>
          <w:rFonts w:ascii="Times New Roman;Times;Serif" w:hAnsi="Times New Roman;Times;Serif"/>
          <w:b/>
          <w:i w:val="false"/>
          <w:caps w:val="false"/>
          <w:smallCaps w:val="false"/>
          <w:sz w:val="20"/>
        </w:rPr>
        <w:t>Effect on Current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this proposal will permit the issuance of shares of Class A Common Stock to Yorkville in excess of the Exchange Cap pursuant to the A&amp;R SEPA and the Promissory Notes. On August 5, 2026, a resale registration statement on Form S-1 registering up to 32,467,532 shares of Class A Common Stock issuable pursuant to the A&amp;R SEPA was declared effective by the SEC. However, because the number of shares issuable under the A&amp;R SEPA is determined based on the market price of our Class A Common Stock, the actual number of shares that may be issued could significantly exceed the 32,467,532 shares registered on the Form S-1. For example, based on a closing stock price of $1.43 per share as of October 5, 2026, up to approximately 69,930,069 shares of Class A Common Stock could be issued following approval of this proposal. Accordingly, the Company may be required to file one or more additional registration statements to register the resale of any shares issued in excess of those covered by the existing Form S-1.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Class A Common Stock to Yorkville will dilute the percentage ownership interest of all stockholders, could dilute the book value per share of the Class A Common Stock and will increase the number of the Company’s outstanding shares, which could cause the market price of our Class A Common Stock to decrease. Depressed trading prices of our Class A Common Stock could further impair our ability to raise sufficient capital from our operations to carry on our business in the ordinary course.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R_027"/>
      <w:bookmarkEnd w:id="8"/>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Yorkville Share Issuance Proposal requires the affirmative vote of a majority of the votes cast at the Special Meeting. Abstentions and broker non-votes will have no effect on the outcome of the Yorkville Share Issuance Proposal. The 2,902,240 shares of Class A Common Stock issued to Yorkville under the A&amp;R SEPA from June 26, 2026 through the close of business on the Record Date, including 280,631 shares issued as payment of a commitment fee and 2,621,609 shares issued upon conversion of the Promissory Notes, are not entitled to vote on the Yorkville Share Issuance Proposal in accordance with Nasdaq Listing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R_028"/>
      <w:bookmarkEnd w:id="9"/>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tbl>
      <w:tblPr>
        <w:tblW w:w="5330" w:type="dxa"/>
        <w:jc w:val="left"/>
        <w:tblInd w:w="-10" w:type="dxa"/>
        <w:tblLayout w:type="fixed"/>
        <w:tblCellMar>
          <w:top w:w="72" w:type="dxa"/>
          <w:left w:w="72" w:type="dxa"/>
          <w:bottom w:w="72" w:type="dxa"/>
          <w:right w:w="72" w:type="dxa"/>
        </w:tblCellMar>
      </w:tblPr>
      <w:tblGrid>
        <w:gridCol w:w="5330"/>
      </w:tblGrid>
      <w:tr>
        <w:trPr/>
        <w:tc>
          <w:tcPr>
            <w:tcW w:w="53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you vote “FOR”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Yorkville Share Issuance Proposal.</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R_029"/>
      <w:bookmarkEnd w:id="10"/>
      <w:r>
        <w:rPr>
          <w:rFonts w:ascii="Times New Roman;Times;Serif" w:hAnsi="Times New Roman;Times;Serif"/>
          <w:b/>
          <w:i w:val="false"/>
          <w:caps w:val="false"/>
          <w:smallCaps w:val="false"/>
          <w:sz w:val="20"/>
        </w:rPr>
        <w:t>PROPOSAL 2: APPROVAL OF AN ADJOURNMENT OF THE SPECIAL MEETING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R_030"/>
      <w:bookmarkEnd w:id="11"/>
      <w:r>
        <w:rPr>
          <w:rFonts w:ascii="Times New Roman;Times;Serif" w:hAnsi="Times New Roman;Times;Serif"/>
          <w:b/>
          <w:i w:val="false"/>
          <w:caps w:val="false"/>
          <w:smallCaps w:val="false"/>
          <w:sz w:val="20"/>
        </w:rPr>
        <w:t>Background of and Reasons for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if the number of shares of the Company’s Common Stock is insufficient to approve the Yorkville Share Issuance Proposal, it is in the best interests of the stockholders to enable the Board to continue to seek to obtain a sufficient number of additional votes to approve the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Adjournment Proposal, we are asking stockholders to authorize the holder of any proxy solicited by the Board to vote in favor of adjourning or postponing the Special Meeting or any adjournment or postponement thereof. If our stockholders approve this proposal, we could adjourn or postpone the Special Meeting, and any adjourned session of the Special Meeting, to use the additional time to solicit additional proxies in favor of the Yorkville Share Issuance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approval of the Adjournment Proposal could mean that, in the event we receive proxies indicating that a majority of the number of outstanding shares of our Common Stock, as counted to mirror the Common Stock votes cast, will vote against the Yorkville Share Issuance Proposal, we could adjourn or postpone the Special Meeting without a vote on the Yorkville Share Issuance Proposal and use the additional time to solicit the holders of those shares to change their vote in favor of the Yorkville Share Issuance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R_031"/>
      <w:bookmarkEnd w:id="12"/>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Adjournment Proposal requires the affirmative vote of a majority of the votes cast at the Special Meeting. Abstentions will have no effect on the outcome of the Adjournment Proposal. Because the Adjournment Proposal is considered a “non-routine” matter, broker non-votes will have no effect on the outcome of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R_032"/>
      <w:bookmarkEnd w:id="13"/>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tbl>
      <w:tblPr>
        <w:tblW w:w="5330" w:type="dxa"/>
        <w:jc w:val="left"/>
        <w:tblInd w:w="-10" w:type="dxa"/>
        <w:tblLayout w:type="fixed"/>
        <w:tblCellMar>
          <w:top w:w="72" w:type="dxa"/>
          <w:left w:w="72" w:type="dxa"/>
          <w:bottom w:w="72" w:type="dxa"/>
          <w:right w:w="72" w:type="dxa"/>
        </w:tblCellMar>
      </w:tblPr>
      <w:tblGrid>
        <w:gridCol w:w="5330"/>
      </w:tblGrid>
      <w:tr>
        <w:trPr/>
        <w:tc>
          <w:tcPr>
            <w:tcW w:w="53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you vote “FOR”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Adjournment Proposal.</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R_033"/>
      <w:bookmarkEnd w:id="14"/>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Record Date, the number of shares of Common Stock beneficially owned by (i) each person who is known by us to be the beneficial owner of more than five percent of our issued and outstanding shares of Common Stock; (ii) each of our officers and directors; and (iii) all of our officers and directors as a group. There were 18,957,701 shares of Class A Common Stock and 29,908 shares of Class B Common Stock outstanding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footnotes to the following table and subject to applicable community property laws, we believe that all persons named in the table below have, or may be deemed to have, sole voting and investment power with respect to all Common Stock to be beneficially owned by them. Additionally, the following table does not reflect record or beneficial ownership of any (i) Class A Common Stock issuable upon exercise of our outstanding warrants to purchase one share of our Class A Common Stock and one share of our Series A preferred stock, par value $0.001 per share, at an exercise price of $7,360 and (ii) certain equity incentive awards that are subject to vesting conditions that have not yet been satisfied. However, shares that a person has the right to acquire within 60 days of the Record Date are deemed issued and outstanding for purposes of computing the percentage ownership of the person holding such rights, but are not deemed issued and outstanding for purposes of computing the percentage ownership of any other person, except with respect to the percentage ownership of all directors and executive officers as a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does not include shares of Class A Common Stock that may be issued in exchange for interests in Beneficient Company Holdings, L.P. (“BCH”), some of which convert into Class A Common Stock based upon their capital account balance calculated in accordance with Section 704 of the Internal Revenue Code (the “Code”). Except as otherwise noted below, the address for persons or entities listed in the table is c/o Beneficient, 325 N. Saint Paul St., Suite 4850, Dallas, Texas 75201. On April 18, 2024, the Company effected the reverse stock split of its Common Stock at a ratio of eighty (80) to one (1), and on December 15, 2025, the Company effected the reverse stock split of its Common Stock at a ratio of eight (8) to one (1). All information in the following tables and footnotes below has been updated to reflect the reverse stock splits unless otherwise provided.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5"/>
        <w:gridCol w:w="60"/>
        <w:gridCol w:w="115"/>
        <w:gridCol w:w="1321"/>
        <w:gridCol w:w="224"/>
        <w:gridCol w:w="61"/>
        <w:gridCol w:w="173"/>
        <w:gridCol w:w="1275"/>
        <w:gridCol w:w="215"/>
        <w:gridCol w:w="60"/>
        <w:gridCol w:w="73"/>
        <w:gridCol w:w="1364"/>
        <w:gridCol w:w="338"/>
        <w:gridCol w:w="60"/>
        <w:gridCol w:w="173"/>
        <w:gridCol w:w="1276"/>
        <w:gridCol w:w="215"/>
        <w:gridCol w:w="60"/>
        <w:gridCol w:w="171"/>
        <w:gridCol w:w="1260"/>
        <w:gridCol w:w="236"/>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 B Common Stock</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9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 A Common Stock</w:t>
            </w:r>
          </w:p>
        </w:tc>
        <w:tc>
          <w:tcPr>
            <w:tcW w:w="236" w:type="dxa"/>
            <w:tcBorders/>
            <w:vAlign w:val="center"/>
          </w:tcPr>
          <w:p>
            <w:pPr>
              <w:pStyle w:val="TableContents"/>
              <w:bidi w:val="0"/>
              <w:spacing w:before="0" w:after="283"/>
              <w:jc w:val="left"/>
              <w:rPr/>
            </w:pPr>
            <w:r>
              <w:rPr/>
              <w:t> </w:t>
            </w:r>
          </w:p>
        </w:tc>
      </w:tr>
      <w:tr>
        <w:trPr/>
        <w:tc>
          <w:tcPr>
            <w:tcW w:w="1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of Beneficial Owner(1)</w:t>
            </w:r>
          </w:p>
        </w:tc>
        <w:tc>
          <w:tcPr>
            <w:tcW w:w="60" w:type="dxa"/>
            <w:tcBorders/>
            <w:vAlign w:val="center"/>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 of Class B Common Stock Beneficially Owned(2)</w:t>
            </w:r>
          </w:p>
        </w:tc>
        <w:tc>
          <w:tcPr>
            <w:tcW w:w="224"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Outstanding Class B Common Stock</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 of Class A Common Stock Beneficially Owned(2)</w:t>
            </w:r>
          </w:p>
        </w:tc>
        <w:tc>
          <w:tcPr>
            <w:tcW w:w="3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Outstanding Class A Common Stock</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Total Voting Power of Class A and Class B Common Stock(3)</w:t>
            </w:r>
          </w:p>
        </w:tc>
        <w:tc>
          <w:tcPr>
            <w:tcW w:w="236"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Named Executive Officers and Directors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22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 </w:t>
            </w:r>
          </w:p>
        </w:tc>
        <w:tc>
          <w:tcPr>
            <w:tcW w:w="3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236"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Brad K. Heppner(4)</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27,687</w:t>
            </w:r>
          </w:p>
        </w:tc>
        <w:tc>
          <w:tcPr>
            <w:tcW w:w="22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61"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1,848</w:t>
            </w:r>
          </w:p>
        </w:tc>
        <w:tc>
          <w:tcPr>
            <w:tcW w:w="3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2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Derek L. Fletcher</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5,157</w:t>
            </w:r>
          </w:p>
        </w:tc>
        <w:tc>
          <w:tcPr>
            <w:tcW w:w="3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6"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Peter T. Cangany, Jr.</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432,199</w:t>
            </w:r>
          </w:p>
        </w:tc>
        <w:tc>
          <w:tcPr>
            <w:tcW w:w="3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2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Mack Hicks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2,066</w:t>
            </w:r>
          </w:p>
        </w:tc>
        <w:tc>
          <w:tcPr>
            <w:tcW w:w="2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6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11,737,437</w:t>
            </w:r>
          </w:p>
        </w:tc>
        <w:tc>
          <w:tcPr>
            <w:tcW w:w="3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61.1</w:t>
            </w:r>
          </w:p>
        </w:tc>
        <w:tc>
          <w:tcPr>
            <w:tcW w:w="2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G. Silk(11)</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1,110,853</w:t>
            </w:r>
          </w:p>
        </w:tc>
        <w:tc>
          <w:tcPr>
            <w:tcW w:w="3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c>
          <w:tcPr>
            <w:tcW w:w="2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Bruce W. Schnitzer</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22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513,443</w:t>
            </w:r>
          </w:p>
        </w:tc>
        <w:tc>
          <w:tcPr>
            <w:tcW w:w="3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2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Karen J. Wendel</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115,390</w:t>
            </w:r>
          </w:p>
        </w:tc>
        <w:tc>
          <w:tcPr>
            <w:tcW w:w="3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6"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Patrick J. Donegan</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121,757</w:t>
            </w:r>
          </w:p>
        </w:tc>
        <w:tc>
          <w:tcPr>
            <w:tcW w:w="3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6"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Greg W. Ezell</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w:t>
            </w:r>
          </w:p>
        </w:tc>
        <w:tc>
          <w:tcPr>
            <w:tcW w:w="3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6"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All current directors and executive officers of Beneficient as a group (8 individuals)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2,221</w:t>
            </w:r>
          </w:p>
        </w:tc>
        <w:tc>
          <w:tcPr>
            <w:tcW w:w="22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14,036,529</w:t>
            </w:r>
          </w:p>
        </w:tc>
        <w:tc>
          <w:tcPr>
            <w:tcW w:w="3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72.9</w:t>
            </w:r>
          </w:p>
        </w:tc>
        <w:tc>
          <w:tcPr>
            <w:tcW w:w="2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Other 5% Holders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 </w:t>
            </w:r>
          </w:p>
        </w:tc>
        <w:tc>
          <w:tcPr>
            <w:tcW w:w="3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HH-BDH, LLC (17)</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11,710,609</w:t>
            </w:r>
          </w:p>
        </w:tc>
        <w:tc>
          <w:tcPr>
            <w:tcW w:w="3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w:t>
            </w:r>
          </w:p>
        </w:tc>
        <w:tc>
          <w:tcPr>
            <w:tcW w:w="2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as applicable, (i) less than one percent of Beneficient total voting power of Class A Common Stock outstanding and Class B Common Stock and (ii) less than one percent ownership of Class A Common Stock and Class B Common Stock.</w:t>
            </w:r>
          </w:p>
        </w:tc>
      </w:tr>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table, a person or group of persons is deemed to have beneficial ownership of any shares of Common Stock that such person has the right to acquire within 60 days of the Record Date. For purposes of computing the percentage of outstanding shares of Common Stock held by each person or group of persons named above, any shares of Common Stock that such person or persons have the right to acquire within 60 days of the Record Date is deemed to be outstanding but is not deemed to be outstanding for the purpose of computing the percentage ownership of any other person.</w:t>
            </w:r>
          </w:p>
        </w:tc>
      </w:tr>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 will be convertible at any time by the holder into shares of Class A Common Stock on a one-for-one basis, such that each holder of Class B Common Stock beneficially owns an equivalent number of shares of Class A Common Stock. The number of shares of Class A Common Stock beneficially owned does not give effect to any such conversion of Class B Common Stock.</w:t>
            </w:r>
          </w:p>
        </w:tc>
      </w:tr>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of total voting power represents voting power with respect to all shares of our Class A Common Stock and Class B Common Stock, as a single class. Each holder of Class B Common Stock is entitled to 10 votes per share of Class B Common Stock and each holder of Class A Common Stock is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 and the election of directors by holders of the Class B Common Stock.</w:t>
            </w:r>
          </w:p>
        </w:tc>
      </w:tr>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Heppner resigned from the Board of Directors and from his role as Chief Executive Officer effective June 19, 2025.</w:t>
            </w:r>
          </w:p>
        </w:tc>
      </w:tr>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of Class B Common Stock held by Beneficent Holdings, Inc. (“BHI”). BHI is an entity held by The Highland Business Holdings Trust of which Mr. Heppner is a beneficiary and a trustee and, in such capacity, has the sole power to vote and direct the disposition of such shares. Therefore, such shares are deemed to be beneficially owned by Mr. Heppner and The Highland Business Holdings Trust.</w:t>
            </w:r>
          </w:p>
        </w:tc>
      </w:tr>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of Class B Common Stock held by Hicks Holdings Operating, LLC. Mr. M. Hicks is the sole member of Hicks Holdings Operating, LLC, and he has the power to vote and direct the disposition of such shares.</w:t>
            </w:r>
          </w:p>
        </w:tc>
      </w:tr>
      <w:tr>
        <w:trPr/>
        <w:tc>
          <w:tcPr>
            <w:tcW w:w="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857 shares of Class A Common Stock and (ii) 991 shares of Class A Common Stock issuable upon settlement of vested restricted stock units held by Mr. Heppner.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4,868 shares of Class A Common Stock and (ii) 289 shares of Class A Common Stock issuable upon settlement of vested restricted stock units held by Mr. Fletcher</w:t>
            </w:r>
            <w:r>
              <w:rPr>
                <w:rFonts w:ascii="Times New Roman;Times;Serif" w:hAnsi="Times New Roman;Times;Serif"/>
                <w:b w:val="false"/>
                <w:i w:val="false"/>
                <w:caps w:val="false"/>
                <w:smallCaps w:val="false"/>
                <w:sz w:val="20"/>
                <w:shd w:fill="FFFFFF" w:val="clear"/>
              </w:rPr>
              <w:t>.</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378,970 shares of Class A Common Stock, (ii) 12,500 shares of Class A Common Stock held by The Cangany Group, LLC, a limited liability company for which Mr. Cangany serves as a manager and, in such capacity, has the power to vote and direct the disposition of such shares, (iii) 40,626 shares of Class A Common Stock held by Cangany Capital Management, LLC, a limited liability company for which Mr. Cangany serves as a manager and, in such capacity, has the power to vote and direct the disposition of such shares, and (iv) 103 shares of Class A Common Stock issuable upon settlement of vested restricted stock units held by Mr. Cangany.</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26,828 shares of Class A Common Stock and (ii) 11,710,609 shares of Class A Common Stock held by HH-BDH, LLC for which Mr. M. Hicks serves as the managing member of its sole member and, in such capacity, has the power to vote and direct the disposition of such shares.</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10, 2024, Mr. Silk resigned from his positions of Director of the Company and Executive Vice President and Chief Legal Officer. Effective July 20, 2025, Mr. Silk rejoined the Company as Interim Chief Executive Officer and became permanent Chief Executive Officer on June 24, 2026.</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1,110,563 shares of Class A Common Stock, and (ii) 290 shares of Class A Common Stock issuable upon settlement of vested restricted stock units held by Mr. Silk.</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513,314 shares of Class A Common Stock and (ii) 129 shares of Class A Common Stock issuable upon settlement of vested restricted stock units held by Mr. Schnitzer.</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(i) 102,890 shares of Class A Common Stock and (ii) the vested stock option representing the right to purchase 12,500 shares of Class A Common </w:t>
            </w:r>
            <w:r>
              <w:rPr>
                <w:rFonts w:ascii="Times New Roman;Times;Serif" w:hAnsi="Times New Roman;Times;Serif"/>
                <w:b w:val="false"/>
                <w:i w:val="false"/>
                <w:caps w:val="false"/>
                <w:smallCaps w:val="false"/>
                <w:sz w:val="20"/>
                <w:shd w:fill="FFFFFF" w:val="clear"/>
              </w:rPr>
              <w:t xml:space="preserve">Stock. </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(i) 109,257 shares of Class A Common Stock and (ii) the vested stock option representing the right to purchase </w:t>
            </w:r>
            <w:r>
              <w:rPr>
                <w:rFonts w:ascii="Times New Roman;Times;Serif" w:hAnsi="Times New Roman;Times;Serif"/>
                <w:b w:val="false"/>
                <w:i w:val="false"/>
                <w:caps w:val="false"/>
                <w:smallCaps w:val="false"/>
                <w:sz w:val="20"/>
                <w:shd w:fill="FFFFFF" w:val="clear"/>
              </w:rPr>
              <w:t xml:space="preserve">12,500 shares of Class A Common Stock. </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96 shares of Class A Common Stock, and (ii) 197 shares of Class A Common Stock issuable upon settlement of vested restricted stock units held by Mr. Ezell.</w:t>
            </w:r>
          </w:p>
        </w:tc>
      </w:tr>
      <w:tr>
        <w:trPr/>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HH-BDH, LLC, a limited liability company for which Hicks Holdings Operating, LLC serves as the sole member and, as the sole member of Hicks Holdings Operating, LLC, Mr. M. Hicks has the power to vote and direct the disposition of such shares. The business address of HH-BDH, LLC is 2200 Ross Ave., Suite 4600 W, Dallas, Texas 75201.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BCH 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capitalization of BCH, with the equity values in BCH based upon the estimated capital account balances as determined pursuant to Section 704 of the Code, as of the Record Date. These capital account balances are estimated based on a deemed liquidation value of approximately $1.0 billion as of the Record Date (after payment of amounts associated with hypothetical capital account balances) and an assumed conversion price of $6,720 per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consummation of the Company’s business combination transaction, effective June 6, 2023 (the “Business Combination”), an adjustment to the carrying value of BCH’s assets of $321.9 million occurred. Pursuant to the Amended and Restated Limited Partnership Agreement of BCH (“BCH A&amp;R LPA”), approximately 50,300 BCH Class S Ordinary Units would be issuable as a result of the carrying value adjustment. Additionally, subsequent to the Business Combination through June 30, 2026, additional carrying value adjustments occurred, and approximately 2,548,090 (inclusive of the 50,300 units described above) BCH Class S Ordinary Units would be issuable through June 30, 2026 as a result of such carrying value adjustments, subject to that certain compensation policy of the Company (the “Compensation Policy”). Under the Compensation Policy, unless amended or waived, the number of BCH Class S Ordinary Units that may be issued as a result of the carrying value adjustment is limited and requires approval of the Board; provided that any such BCH Class S Ordinary Units that were not issued under the carrying value provision may be issued in subsequent years in accordance with the Compensation Policy. As of the Record Date, there has been no allocation of the carrying value adjustment among the holders of the Subclass 1 FLP Unit Accounts of BCH and the Subclass 2 FLP Unit Accounts of BCH and no issuance of any BCH Class S Ordinary Units as a result of such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BCH securities identified in the table below are included in the beneficial ownership table reported above as they are either (i) not exchangeable for Class A Common Stock within 60 days of the Record Date, due to exchange limitations set forth in the BCH A&amp;R LPA, and the Exchange Agreement, dated June 7, 2023, by and between the Company, BCH and Beneficient Company Group, LLC, or (ii) in the case of the BCH Preferred A-1, which beginning January 1, 2025, are exchangeable for Class A Common Stock subject to a 20% annual limitation, the current conversion price of $6,720.00 far exceeds the current market price of the Class A Common Stock.</w:t>
      </w:r>
    </w:p>
    <w:p>
      <w:pPr>
        <w:pStyle w:val="TextBody"/>
        <w:bidi w:val="0"/>
        <w:spacing w:before="0" w:after="0"/>
        <w:ind w:left="0" w:right="0" w:hanging="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3260"/>
        <w:gridCol w:w="60"/>
        <w:gridCol w:w="140"/>
        <w:gridCol w:w="1220"/>
        <w:gridCol w:w="60"/>
        <w:gridCol w:w="60"/>
        <w:gridCol w:w="140"/>
        <w:gridCol w:w="1400"/>
        <w:gridCol w:w="75"/>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September 24, 2026</w:t>
            </w:r>
            <w:r>
              <w:rPr>
                <w:rFonts w:ascii="Times New Roman;Times;Serif" w:hAnsi="Times New Roman;Times;Serif"/>
                <w:b/>
                <w:position w:val="7"/>
                <w:sz w:val="16"/>
                <w:sz w:val="20"/>
              </w:rPr>
              <w:t>(1)</w:t>
            </w:r>
          </w:p>
        </w:tc>
        <w:tc>
          <w:tcPr>
            <w:tcW w:w="75" w:type="dxa"/>
            <w:tcBorders/>
            <w:vAlign w:val="center"/>
          </w:tcPr>
          <w:p>
            <w:pPr>
              <w:pStyle w:val="TableContents"/>
              <w:bidi w:val="0"/>
              <w:spacing w:before="0" w:after="283"/>
              <w:jc w:val="left"/>
              <w:rPr/>
            </w:pPr>
            <w:r>
              <w:rPr/>
              <w:t> </w:t>
            </w:r>
          </w:p>
        </w:tc>
      </w:tr>
      <w:tr>
        <w:trPr/>
        <w:tc>
          <w:tcPr>
            <w:tcW w:w="32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(Dollars)</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Hypothetical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7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BCH Equity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Units held by Beneficient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16,860,533</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S Ordinary Units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7,462</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S Preferred Units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Series A Subclass 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252,796,449</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Series A Subclass 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957,252,258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760,895,383</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BCH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957,512,434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1,030,559,917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is based upon estimated capital account balances as of the Record Date as determined pursuant to Section 704 of the Code, and such estimates are subject to adjustment. The estimated amounts are based on a deemed liquidation value of $1.0 billion after payment of amounts associated with hypothetical capital account balances.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R_034"/>
      <w:bookmarkEnd w:id="15"/>
      <w:r>
        <w:rPr>
          <w:rFonts w:ascii="Times New Roman;Times;Serif" w:hAnsi="Times New Roman;Times;Serif"/>
          <w:b/>
          <w:i w:val="false"/>
          <w:caps w:val="false"/>
          <w:smallCaps w:val="false"/>
          <w:sz w:val="20"/>
        </w:rPr>
        <w:t>REQUIREMENTS FOR ADVANCE NOTIFICATION OF NOMINATIONS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STOCKHOLDER PROPOSALS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14a-8 under the Securities Exchange Act of 1934, as amended (the “Exchange Act”), a stockholder proposal submitted for inclusion in our proxy statement for the 2027 annual meeting of stockholders must be received no later than November 12, 2026. However, if the 2027 annual meeting of stockholders is held on a date that is before February 18, 2027 or after April 19, 2027, stockholders who intend to present proposals at the 2027 annual meeting under SEC Rule 14a-8 must ensure that such proposals are received by the Corporate Secretary of the Company within a reasonable time before we begin to print and mail the proxy statement for the 2027 annual meeting. Such proposals must meet the requirements of the SEC to be eligible for inclusion in the Company’s 2027 proxy materials. Stockholder proposals should be addressed to the Corporate Secretary, Beneficient, at 325 N. Saint Paul Street, Suite 4850, Dallas, Texas 75201.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submitted outside Rule 14a-8 of the Exchange Act must comply with our bylaws. To be timely, a proposing stockholder’s notice must be delivered to or mailed and received at the principal executive offices of the Company: (i) not later than the close of business on the 90th day, nor earlier than the close of business on the 120th day in advance of the anniversary of the previous year’s annual meeting if such meeting is to be held on a day which is not more than 30 days in advance of the anniversary of the previous year’s annual meeting or not later than 70 days after the anniversary of the previous year’s annual meeting; and (ii) with respect to any other annual meeting of stockholders, not later than the close of business on the tenth (10th) day following the date of public disclosure of the date of such meeting. In addition, the stockholder’s notice must set forth the information required by our bylaws with respect to each stockholder making the proposal and each proposal and nomination that such stockholder intends to present at the 2027 annual meeting. All proposals should be addressed to the Corporate Secretary, Beneficient, 325 N. Saint Paul Street, Suite 4850, Dallas, Texas 75201.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intend to solicit proxies in support of director nominees other than our nominees must provide notice to our Corporate Secretary that sets forth the information required by Rule 14a-19 of the Exchange Act in accordance with and within the time period prescribed in the advance notice provisions of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R_035"/>
      <w:bookmarkEnd w:id="16"/>
      <w:r>
        <w:rPr>
          <w:rFonts w:ascii="Times New Roman;Times;Serif" w:hAnsi="Times New Roman;Times;Serif"/>
          <w:b/>
          <w:i w:val="false"/>
          <w:caps w:val="false"/>
          <w:smallCaps w:val="false"/>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intend to bring any other matters before the Special Meeting and has no reason to believe any other matters will be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and other residents at your mailing address own shares in street name, your broker or bank may have sent you a notice that your household will receive only one copy of proxy materials for each company in which you hold shares through that broker or bank. This practice of sending only one copy of proxy materials is known as householding. If you did not respond that you did not want to participate in householding, you were deemed to have consented to the process. If the foregoing procedures apply to you, your broker has sent one copy of our Proxy Statement to your address. If you want to receive separate copies of the proxy materials in the future, or you are receiving multiple copies and would like to receive only one copy per household, you should contact your stockbroker, bank or other nominee record holder, or you may contact us at the address or telephone number below. In any event, if you did not receive an individual copy of this Proxy Statement, we will send a copy to you if you address your written request to, or call, the Corporate Secretary of Beneficient, 325 N. Saint Paul Street, Suite 4850, Dallas, Texas 75201, telephone number 214-445-4700.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documents referred to above that appear on our website are also available upon request by any stockholder addressed to our Corporate Secretary, Beneficient, 325 N. Saint Paul Street, Suite 4850, Dallas, Texas 75201.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R_036"/>
      <w:bookmarkEnd w:id="17"/>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and, therefore, we file annual, quarterly and current reports, proxy statements and other information with the SEC. Our SEC filings are available to the public on the SEC’s website at www.sec.gov. The SEC’s website contains reports, proxy and information statements and other information regarding issuers, such as us, that file electronically with the SEC. You may also read and copy any document we file with the SEC at the SEC’s Public Reference Room at 100 F Street, N.E., Room 1580, Washington, D.C. 20549. You may also obtain copies of these documents at prescribed rates by writing to the SEC. Please call the SEC at 1-800-SEC-0330 for further information on the operation of its Public Reference Room.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8229600" cy="106527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229600" cy="1065276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12600</Words>
  <Characters>62977</Characters>
  <CharactersWithSpaces>75657</CharactersWithSpaces>
  <Paragraphs>997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