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CANGANY PETER 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 SUITE 4850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5"/>
        <w:gridCol w:w="939"/>
        <w:gridCol w:w="807"/>
        <w:gridCol w:w="624"/>
        <w:gridCol w:w="344"/>
        <w:gridCol w:w="971"/>
        <w:gridCol w:w="419"/>
        <w:gridCol w:w="590"/>
        <w:gridCol w:w="1160"/>
        <w:gridCol w:w="973"/>
        <w:gridCol w:w="14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25,689</w:t>
            </w:r>
            <w:r>
              <w:rPr>
                <w:rFonts w:ascii="Times;serif" w:hAnsi="Times;serif"/>
                <w:color w:val="008000"/>
                <w:position w:val="7"/>
                <w:sz w:val="16"/>
                <w:sz w:val="20"/>
                <w:shd w:fill="FFFFFF" w:val="clear"/>
              </w:rPr>
              <w:t>(1)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404,820</w:t>
            </w:r>
            <w:r>
              <w:rPr>
                <w:rFonts w:ascii="Times;serif" w:hAnsi="Times;serif"/>
                <w:color w:val="008000"/>
                <w:position w:val="7"/>
                <w:sz w:val="16"/>
                <w:sz w:val="20"/>
                <w:shd w:fill="FFFFFF" w:val="clear"/>
              </w:rPr>
              <w:t>(2)(3)(4)(5)(6)(7)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40,625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Cangany Capital Management, LLC</w:t>
            </w:r>
            <w:r>
              <w:rPr>
                <w:rFonts w:ascii="Times;serif" w:hAnsi="Times;serif"/>
                <w:color w:val="008000"/>
                <w:position w:val="7"/>
                <w:sz w:val="16"/>
                <w:sz w:val="20"/>
                <w:shd w:fill="FFFFFF" w:val="clear"/>
              </w:rPr>
              <w:t>(8)</w:t>
            </w:r>
          </w:p>
        </w:tc>
      </w:tr>
      <w:tr>
        <w:trPr/>
        <w:tc>
          <w:tcPr>
            <w:tcW w:w="19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Cangany Group, LLC</w:t>
            </w:r>
            <w:r>
              <w:rPr>
                <w:rFonts w:ascii="Times;serif" w:hAnsi="Times;serif"/>
                <w:color w:val="008000"/>
                <w:position w:val="7"/>
                <w:sz w:val="16"/>
                <w:sz w:val="20"/>
                <w:shd w:fill="FFFFFF" w:val="clear"/>
              </w:rPr>
              <w:t>(9)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25,689 shares of Class A common stock, par value $0.001 ( "Class A common stock"), of Beneficient (the "Issuer") issuable upon the settlement of an award of 25,689 restricted stock units ("RSUs") granted pursuant to the Beneficient 2023 Equity Incentive Plan ("2023 Equity Incentive Plan") to Peter T. Cangany, Jr. (the "Reporting Person") on September 30,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32,960 shares of Class A common stock issuable upon the settlement of an award of 32,960 RSUs granted pursuant to 2023 Equity Incentive Plan to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80 shares of Class A common stock issuable upon the settlement of an award of 80 RSUs granted pursuant to 2023 Equity Incentive Plan to the Reporting Person on July 15, 2023. Such award of RSUs to the Reporting Person vested 20% on each of September 1, 2023, 2024, 2025, 2026, and the remaining 20% will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97 shares of Class A common stock issuable upon the settlement of an award of 78 restricted equity units ("REUs") granted pursuant to The Beneficient Company Group, L.P. 2018 Equity Incentive Plan ("2018 Equity Incentive Plan") to the Reporting Person on April 25, 2019. Such award of REUs to the Reporting Person vested 25% on the date of grant and in 25% installments on April 1, 2020, 2021 and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23 shares of Class A common stock issuable upon settlement of an award of 18 REUs granted to the Reporting Person pursuant to the 2018 Equity Incentive Plan on April 1, 2022. Such award of REUs to the Reporting Person vested 40% on June 8, 2023 and in 20% installments on April 1,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247,642 shares of Class A common stock issuable upon the settlement of an award of 247,642 RSUs granted pursuant to the 2023 Equity Incentive Plan to the Reporting Person on September 18, 2026. The RSUs were granted in satisfaction of the Reporting Person's prior service compensation for the period from January 1, 2025 through March 31,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79,461 shares of Class A common stock issuable upon the settlement of an award of 79,461 RSUs granted pursuant to the 2023 Equity Incentive Plan to the Reporting Person on December 26, 2025. The RSUs were granted in satisfaction of the Reporting Person's prior service compensation for the period from January 1, 2023 through December 31, 2024.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of Class A common stock are directly held by Cangany Capital Management, LLC, a limited liability company controlled by the Reporting Person. The Reporting Person may be deemed to beneficially own securities of the Issuer held by such limited liability company. The Reporting Person disclaims beneficial ownership of such securities except to the extent of his pecuniary interest therein, and this report shall not be deemed an admission that the Reporting Person is the beneficial owner of such securities for purposes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of Class A common stock are directly held by The Cangany Group, LLC, a limited liability company controlled by the Reporting Person. The Reporting Person may be deemed to beneficially own securities of the Issuer held by such limited liability company. The Reporting Person disclaims beneficial ownership of such securities except to the extent of his pecuniary interest therein, and this report shall not be deemed an admission that the Reporting Person is the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Peter T. Cangany,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266"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1258</Words>
  <Characters>6450</Characters>
  <CharactersWithSpaces>7626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