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B_edei--DocumentType_c20261007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October 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5_edei--EntityRegistrantName_c2026"/>
      <w:bookmarkEnd w:id="4"/>
      <w:r>
        <w:rPr>
          <w:rFonts w:ascii="Times New Roman;Times;Serif" w:hAnsi="Times New Roman;Times;Serif"/>
          <w:b/>
          <w:i w:val="false"/>
          <w:caps w:val="false"/>
          <w:smallCaps w:val="false"/>
          <w:sz w:val="36"/>
        </w:rPr>
        <w:t>Beneficient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2360"/>
        <w:gridCol w:w="60"/>
        <w:gridCol w:w="1145"/>
        <w:gridCol w:w="60"/>
        <w:gridCol w:w="1565"/>
      </w:tblGrid>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3_edei--EntityIncorporationStateCo"/>
            <w:bookmarkEnd w:id="5"/>
            <w:r>
              <w:rPr>
                <w:rFonts w:ascii="Times New Roman;Times;Serif" w:hAnsi="Times New Roman;Times;Serif"/>
                <w:b/>
                <w:i w:val="false"/>
                <w:caps w:val="false"/>
                <w:smallCaps w:val="false"/>
                <w:sz w:val="20"/>
              </w:rPr>
              <w:t>Nevada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5_edei--EntityFileNumber_c20261007"/>
            <w:bookmarkEnd w:id="6"/>
            <w:r>
              <w:rPr>
                <w:rFonts w:ascii="Times New Roman;Times;Serif" w:hAnsi="Times New Roman;Times;Serif"/>
                <w:b/>
                <w:i w:val="false"/>
                <w:caps w:val="false"/>
                <w:smallCaps w:val="false"/>
                <w:sz w:val="20"/>
              </w:rPr>
              <w:t>001-41715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1_edei--EntityTaxIdentificationNum"/>
            <w:bookmarkEnd w:id="7"/>
            <w:r>
              <w:rPr>
                <w:rFonts w:ascii="Times New Roman;Times;Serif" w:hAnsi="Times New Roman;Times;Serif"/>
                <w:b/>
                <w:i w:val="false"/>
                <w:caps w:val="false"/>
                <w:smallCaps w:val="false"/>
                <w:sz w:val="20"/>
              </w:rPr>
              <w:t>72-1573705</w:t>
            </w:r>
          </w:p>
        </w:tc>
      </w:tr>
      <w:tr>
        <w:trPr/>
        <w:tc>
          <w:tcPr>
            <w:tcW w:w="23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 xml:space="preserve">325 North St. Paul Street, </w:t>
      </w:r>
      <w:bookmarkStart w:id="9" w:name="xdx_90C_edei--EntityAddressAddressLine2_"/>
      <w:bookmarkEnd w:id="9"/>
      <w:r>
        <w:rPr>
          <w:rFonts w:ascii="Times New Roman;Times;Serif" w:hAnsi="Times New Roman;Times;Serif"/>
          <w:b/>
          <w:i w:val="false"/>
          <w:caps w:val="false"/>
          <w:smallCaps w:val="false"/>
          <w:sz w:val="20"/>
        </w:rPr>
        <w:t>Suite 4850</w:t>
      </w:r>
    </w:p>
    <w:p>
      <w:pPr>
        <w:pStyle w:val="TextBody"/>
        <w:bidi w:val="0"/>
        <w:spacing w:before="0" w:after="0"/>
        <w:jc w:val="center"/>
        <w:rPr>
          <w:rFonts w:ascii="Times New Roman;Times;Serif" w:hAnsi="Times New Roman;Times;Serif"/>
          <w:b/>
          <w:i w:val="false"/>
          <w:caps w:val="false"/>
          <w:smallCaps w:val="false"/>
          <w:sz w:val="20"/>
        </w:rPr>
      </w:pPr>
      <w:bookmarkStart w:id="10" w:name="xdx_903_edei--EntityAddressCityOrTown_c2"/>
      <w:bookmarkEnd w:id="10"/>
      <w:r>
        <w:rPr>
          <w:rFonts w:ascii="Times New Roman;Times;Serif" w:hAnsi="Times New Roman;Times;Serif"/>
          <w:b/>
          <w:i w:val="false"/>
          <w:caps w:val="false"/>
          <w:smallCaps w:val="false"/>
          <w:sz w:val="20"/>
        </w:rPr>
        <w:t xml:space="preserve">Dallas, </w:t>
      </w:r>
      <w:bookmarkStart w:id="11" w:name="xdx_908_edei--EntityAddressStateOrProvin"/>
      <w:bookmarkEnd w:id="11"/>
      <w:r>
        <w:rPr>
          <w:rFonts w:ascii="Times New Roman;Times;Serif" w:hAnsi="Times New Roman;Times;Serif"/>
          <w:b/>
          <w:i w:val="false"/>
          <w:caps w:val="false"/>
          <w:smallCaps w:val="false"/>
          <w:sz w:val="20"/>
        </w:rPr>
        <w:t xml:space="preserve">Texas </w:t>
      </w:r>
      <w:bookmarkStart w:id="12" w:name="xdx_900_edei--EntityAddressPostalZipCode"/>
      <w:bookmarkEnd w:id="12"/>
      <w:r>
        <w:rPr>
          <w:rFonts w:ascii="Times New Roman;Times;Serif" w:hAnsi="Times New Roman;Times;Serif"/>
          <w:b/>
          <w:i w:val="false"/>
          <w:caps w:val="false"/>
          <w:smallCaps w:val="false"/>
          <w:sz w:val="20"/>
        </w:rPr>
        <w:t>75201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3" w:name="xdx_907_edei--CityAreaCode_c20261007__20"/>
      <w:bookmarkEnd w:id="13"/>
      <w:r>
        <w:rPr>
          <w:rFonts w:ascii="Times New Roman;Times;Serif" w:hAnsi="Times New Roman;Times;Serif"/>
          <w:b/>
          <w:i w:val="false"/>
          <w:caps w:val="false"/>
          <w:smallCaps w:val="false"/>
          <w:sz w:val="20"/>
        </w:rPr>
        <w:t>(214)</w:t>
      </w:r>
      <w:r>
        <w:rPr>
          <w:rFonts w:ascii="Times New Roman;Times;Serif" w:hAnsi="Times New Roman;Times;Serif"/>
          <w:b w:val="false"/>
          <w:i w:val="false"/>
          <w:caps w:val="false"/>
          <w:smallCaps w:val="false"/>
          <w:sz w:val="20"/>
        </w:rPr>
        <w:t xml:space="preserve"> </w:t>
      </w:r>
      <w:bookmarkStart w:id="14" w:name="xdx_901_edei--LocalPhoneNumber_c20261007"/>
      <w:bookmarkEnd w:id="14"/>
      <w:r>
        <w:rPr>
          <w:rFonts w:ascii="Times New Roman;Times;Serif" w:hAnsi="Times New Roman;Times;Serif"/>
          <w:b/>
          <w:i w:val="false"/>
          <w:caps w:val="false"/>
          <w:smallCaps w:val="false"/>
          <w:sz w:val="20"/>
        </w:rPr>
        <w:t>445-4700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5" w:name="xdx_903_edei--WrittenCommunications_c202"/>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 pursuant to Rule 425 under the Securities Act (17 CFR 230.425)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6" w:name="xdx_904_edei--SolicitingMaterial_c202610"/>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7" w:name="xdx_907_edei--PreCommencementTenderOffer"/>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8" w:name="xdx_90F_edei--PreCommencementIssuerTende"/>
            <w:bookmarkEnd w:id="1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996"/>
        <w:gridCol w:w="60"/>
        <w:gridCol w:w="1083"/>
        <w:gridCol w:w="60"/>
        <w:gridCol w:w="2006"/>
      </w:tblGrid>
      <w:tr>
        <w:trPr/>
        <w:tc>
          <w:tcPr>
            <w:tcW w:w="699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3"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06"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996"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9" w:name="xdx_909_edei--Security12bTitle_c20261007"/>
            <w:bookmarkEnd w:id="19"/>
            <w:r>
              <w:rPr>
                <w:rFonts w:ascii="Times New Roman;Times;Serif" w:hAnsi="Times New Roman;Times;Serif"/>
                <w:b/>
                <w:i w:val="false"/>
                <w:caps w:val="false"/>
                <w:smallCaps w:val="false"/>
                <w:sz w:val="20"/>
              </w:rPr>
              <w:t>Shares of Class A common stock, par value $0.001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3"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0" w:name="xdx_90C_edei--TradingSymbol_c20261007__2"/>
            <w:bookmarkEnd w:id="20"/>
            <w:r>
              <w:rPr>
                <w:rFonts w:ascii="Times New Roman;Times;Serif" w:hAnsi="Times New Roman;Times;Serif"/>
                <w:b/>
                <w:i w:val="false"/>
                <w:caps w:val="false"/>
                <w:smallCaps w:val="false"/>
                <w:sz w:val="20"/>
              </w:rPr>
              <w:t>BENF</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06"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1" w:name="xdx_902_edei--SecurityExchangeName_c2026"/>
            <w:bookmarkEnd w:id="21"/>
            <w:r>
              <w:rPr>
                <w:rFonts w:ascii="Times New Roman;Times;Serif" w:hAnsi="Times New Roman;Times;Serif"/>
                <w:b/>
                <w:i w:val="false"/>
                <w:caps w:val="false"/>
                <w:smallCaps w:val="false"/>
                <w:sz w:val="20"/>
              </w:rPr>
              <w:t>Nasdaq Stock Market LLC</w:t>
            </w:r>
          </w:p>
        </w:tc>
      </w:tr>
      <w:tr>
        <w:trPr/>
        <w:tc>
          <w:tcPr>
            <w:tcW w:w="6996"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2" w:name="xdx_907_edei--Security12bTitle_c20261007"/>
            <w:bookmarkEnd w:id="22"/>
            <w:r>
              <w:rPr>
                <w:rFonts w:ascii="Times New Roman;Times;Serif" w:hAnsi="Times New Roman;Times;Serif"/>
                <w:b/>
                <w:i w:val="false"/>
                <w:caps w:val="false"/>
                <w:smallCaps w:val="false"/>
                <w:sz w:val="20"/>
              </w:rPr>
              <w:t>Warrants, each whole warrant exercisable for one share of Class A common stock, par value $0.001 per share, and one share of Series A convertible preferred stock, par value $0.001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3"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3" w:name="xdx_90A_edei--TradingSymbol_c20261007__2"/>
            <w:bookmarkEnd w:id="23"/>
            <w:r>
              <w:rPr>
                <w:rFonts w:ascii="Times New Roman;Times;Serif" w:hAnsi="Times New Roman;Times;Serif"/>
                <w:b/>
                <w:i w:val="false"/>
                <w:caps w:val="false"/>
                <w:smallCaps w:val="false"/>
                <w:sz w:val="20"/>
              </w:rPr>
              <w:t>BENFW</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06"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4" w:name="xdx_903_edei--SecurityExchangeName_c2026"/>
            <w:bookmarkEnd w:id="24"/>
            <w:r>
              <w:rPr>
                <w:rFonts w:ascii="Times New Roman;Times;Serif" w:hAnsi="Times New Roman;Times;Serif"/>
                <w:b/>
                <w:i w:val="false"/>
                <w:caps w:val="false"/>
                <w:smallCaps w:val="false"/>
                <w:sz w:val="20"/>
              </w:rPr>
              <w:t>Nasdaq Stock Market LLC</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of this chapter) or Rule 12b-2 of the Securities Exchange Act of 1934 (17 CFR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9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0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875"/>
        <w:gridCol w:w="3740"/>
      </w:tblGrid>
      <w:tr>
        <w:trPr/>
        <w:tc>
          <w:tcPr>
            <w:tcW w:w="8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w:t>
            </w:r>
          </w:p>
        </w:tc>
        <w:tc>
          <w:tcPr>
            <w:tcW w:w="37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Entry into a Material Definitive Agreement.</w:t>
            </w:r>
          </w:p>
        </w:tc>
      </w:tr>
    </w:tbl>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March 10, 2026, Beneficient Financing, L.L.C. (the “Borrower”), a wholly owned subsidiary of Beneficient, a Nevada corporation (the “Company”), and Beneficient Company Holdings, L.P., as guarantor (the “Guarantor” and together with the Borrower, the “Loan Parties”), entered into a letter agreement (the “Letter Agreement”) with HH-BDH, LLC (“HH-BDH”), which provided for the payment of the remaining interest and fees outstanding under that certain Credit and Guaranty Agreement, dated October 19, 2023, by and among the Loan Parties and HH-BDH, as lender and administrative agent. HH-BDH’s sole member is Hicks Holdings Operating, LLC, a Delaware limited liability company, whose managing member, Mack Hicks, is a member of the Company’s board of directors. Pursuant to the terms of the Letter Agreement, among other things, the Borrower agreed to pay HH-BDH $1,000,000 in cash no later than five business days following September 30, 2026. Effective October 7, 2026, HH-BDH and the Loan Parties amended the Letter Agreement (the “Letter Agreement Amendment”) to extend the deadline for the $1,000,000 cash payment to March 31,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Letter Agreement Amendment is a summary only, does not purport to be complete and is subject to, and qualified in its entirety by reference to, the full text of the Letter Agreement Amendment, a copy of which is filed as Exhibit 10.1 to this Current Report on Form 8-K and is incorporated by reference herein.</w:t>
      </w:r>
    </w:p>
    <w:p>
      <w:pPr>
        <w:pStyle w:val="TextBody"/>
        <w:bidi w:val="0"/>
        <w:spacing w:before="0" w:after="0"/>
        <w:ind w:left="0" w:right="0" w:hanging="0"/>
        <w:jc w:val="both"/>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w:t>
            </w:r>
          </w:p>
        </w:tc>
        <w:tc>
          <w:tcPr>
            <w:tcW w:w="29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22"/>
        <w:gridCol w:w="60"/>
        <w:gridCol w:w="9223"/>
      </w:tblGrid>
      <w:tr>
        <w:trPr/>
        <w:tc>
          <w:tcPr>
            <w:tcW w:w="922"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No. </w:t>
            </w:r>
          </w:p>
        </w:tc>
        <w:tc>
          <w:tcPr>
            <w:tcW w:w="60" w:type="dxa"/>
            <w:tcBorders/>
            <w:tcMar>
              <w:bottom w:w="0" w:type="dxa"/>
            </w:tcMar>
            <w:vAlign w:val="center"/>
          </w:tcPr>
          <w:p>
            <w:pPr>
              <w:pStyle w:val="TableContents"/>
              <w:bidi w:val="0"/>
              <w:spacing w:before="0" w:after="283"/>
              <w:jc w:val="left"/>
              <w:rPr/>
            </w:pPr>
            <w:r>
              <w:rPr/>
              <w:t> </w:t>
            </w:r>
          </w:p>
        </w:tc>
        <w:tc>
          <w:tcPr>
            <w:tcW w:w="9223"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Exhibit</w:t>
            </w:r>
          </w:p>
        </w:tc>
      </w:tr>
      <w:tr>
        <w:trPr/>
        <w:tc>
          <w:tcPr>
            <w:tcW w:w="92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922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2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pPr>
            <w:r>
              <w:rPr/>
              <w:t> </w:t>
            </w:r>
          </w:p>
        </w:tc>
        <w:tc>
          <w:tcPr>
            <w:tcW w:w="9223" w:type="dxa"/>
            <w:tcBorders/>
            <w:tcMar>
              <w:bottom w:w="0" w:type="dxa"/>
            </w:tcMar>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Letter Agreement Amendment, effective October 7, 2026, by and among HH-BDH LLC, Beneficient Financing, L.L.C. and Beneficient Company Holdings, L.P.</w:t>
              </w:r>
            </w:hyperlink>
          </w:p>
        </w:tc>
      </w:tr>
      <w:tr>
        <w:trPr/>
        <w:tc>
          <w:tcPr>
            <w:tcW w:w="922"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922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2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922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560"/>
        <w:gridCol w:w="19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BENEFICIENT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40"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Gregory W. Ezell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Gregory W. Ezell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Financial Officer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14, 2026</w:t>
            </w:r>
          </w:p>
        </w:tc>
      </w:tr>
    </w:tbl>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27" w:name="ex10-1.htm"/>
      <w:bookmarkStart w:id="28" w:name="ksex101"/>
      <w:bookmarkEnd w:id="27"/>
      <w:bookmarkEnd w:id="2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TO LETTER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to Letter Agreement (this “</w:t>
      </w:r>
      <w:r>
        <w:rPr>
          <w:rFonts w:ascii="Times New Roman;Times;Serif" w:hAnsi="Times New Roman;Times;Serif"/>
          <w:b/>
          <w:i/>
          <w:caps w:val="false"/>
          <w:smallCaps w:val="false"/>
          <w:sz w:val="20"/>
        </w:rPr>
        <w:t>Amendment</w:t>
      </w:r>
      <w:r>
        <w:rPr>
          <w:rFonts w:ascii="Times New Roman;Times;Serif" w:hAnsi="Times New Roman;Times;Serif"/>
          <w:b w:val="false"/>
          <w:i w:val="false"/>
          <w:caps w:val="false"/>
          <w:smallCaps w:val="false"/>
          <w:sz w:val="20"/>
        </w:rPr>
        <w:t>”) is entered into as of October 7, 2026, by and among Beneficient Financing, L.L.C. (“</w:t>
      </w:r>
      <w:r>
        <w:rPr>
          <w:rFonts w:ascii="Times New Roman;Times;Serif" w:hAnsi="Times New Roman;Times;Serif"/>
          <w:b/>
          <w:i/>
          <w:caps w:val="false"/>
          <w:smallCaps w:val="false"/>
          <w:sz w:val="20"/>
        </w:rPr>
        <w:t>Borrower</w:t>
      </w:r>
      <w:r>
        <w:rPr>
          <w:rFonts w:ascii="Times New Roman;Times;Serif" w:hAnsi="Times New Roman;Times;Serif"/>
          <w:b w:val="false"/>
          <w:i w:val="false"/>
          <w:caps w:val="false"/>
          <w:smallCaps w:val="false"/>
          <w:sz w:val="20"/>
        </w:rPr>
        <w:t>”), Beneficient (“</w:t>
      </w:r>
      <w:r>
        <w:rPr>
          <w:rFonts w:ascii="Times New Roman;Times;Serif" w:hAnsi="Times New Roman;Times;Serif"/>
          <w:b/>
          <w:i/>
          <w:caps w:val="false"/>
          <w:smallCaps w:val="false"/>
          <w:sz w:val="20"/>
        </w:rPr>
        <w:t>Ben Nevada</w:t>
      </w:r>
      <w:r>
        <w:rPr>
          <w:rFonts w:ascii="Times New Roman;Times;Serif" w:hAnsi="Times New Roman;Times;Serif"/>
          <w:b w:val="false"/>
          <w:i w:val="false"/>
          <w:caps w:val="false"/>
          <w:smallCaps w:val="false"/>
          <w:sz w:val="20"/>
        </w:rPr>
        <w:t>”), and HH-BDH LLC (“</w:t>
      </w:r>
      <w:r>
        <w:rPr>
          <w:rFonts w:ascii="Times New Roman;Times;Serif" w:hAnsi="Times New Roman;Times;Serif"/>
          <w:b/>
          <w:i/>
          <w:caps w:val="false"/>
          <w:smallCaps w:val="false"/>
          <w:sz w:val="20"/>
        </w:rPr>
        <w:t>Lender</w:t>
      </w:r>
      <w:r>
        <w:rPr>
          <w:rFonts w:ascii="Times New Roman;Times;Serif" w:hAnsi="Times New Roman;Times;Serif"/>
          <w:b w:val="false"/>
          <w:i w:val="false"/>
          <w:caps w:val="false"/>
          <w:smallCaps w:val="false"/>
          <w:sz w:val="20"/>
        </w:rPr>
        <w:t>”), and amends that certain letter agreement dated March 10, 2026, by and among Borrower, Ben Nevada, and Lender (the “</w:t>
      </w:r>
      <w:r>
        <w:rPr>
          <w:rFonts w:ascii="Times New Roman;Times;Serif" w:hAnsi="Times New Roman;Times;Serif"/>
          <w:b/>
          <w:i/>
          <w:caps w:val="false"/>
          <w:smallCaps w:val="false"/>
          <w:sz w:val="20"/>
        </w:rPr>
        <w:t>Letter Agreement</w:t>
      </w:r>
      <w:r>
        <w:rPr>
          <w:rFonts w:ascii="Times New Roman;Times;Serif" w:hAnsi="Times New Roman;Times;Serif"/>
          <w:b w:val="false"/>
          <w:i w:val="false"/>
          <w:caps w:val="false"/>
          <w:smallCaps w:val="false"/>
          <w:sz w:val="20"/>
        </w:rPr>
        <w:t>”). Capitalized terms used but not defined herein shall have the meanings given in the Letter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Extension of Payment Deadline</w:t>
      </w:r>
      <w:r>
        <w:rPr>
          <w:rFonts w:ascii="Times New Roman;Times;Serif" w:hAnsi="Times New Roman;Times;Serif"/>
          <w:b w:val="false"/>
          <w:i w:val="false"/>
          <w:caps w:val="false"/>
          <w:smallCaps w:val="false"/>
          <w:sz w:val="20"/>
        </w:rPr>
        <w:t xml:space="preserve">. The deadline for Borrower to pay Lender the $1,000,000 Cash Payment pursuant to </w:t>
      </w:r>
      <w:r>
        <w:rPr>
          <w:rFonts w:ascii="Times New Roman;Times;Serif" w:hAnsi="Times New Roman;Times;Serif"/>
          <w:b w:val="false"/>
          <w:i w:val="false"/>
          <w:caps w:val="false"/>
          <w:smallCaps w:val="false"/>
          <w:sz w:val="20"/>
          <w:u w:val="single"/>
        </w:rPr>
        <w:t>Section 1(a)(ii)</w:t>
      </w:r>
      <w:r>
        <w:rPr>
          <w:rFonts w:ascii="Times New Roman;Times;Serif" w:hAnsi="Times New Roman;Times;Serif"/>
          <w:b w:val="false"/>
          <w:i w:val="false"/>
          <w:caps w:val="false"/>
          <w:smallCaps w:val="false"/>
          <w:sz w:val="20"/>
        </w:rPr>
        <w:t xml:space="preserve"> of the Letter Agreement is hereby extended to March 31,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Effect of Amendment</w:t>
      </w:r>
      <w:r>
        <w:rPr>
          <w:rFonts w:ascii="Times New Roman;Times;Serif" w:hAnsi="Times New Roman;Times;Serif"/>
          <w:b w:val="false"/>
          <w:i w:val="false"/>
          <w:caps w:val="false"/>
          <w:smallCaps w:val="false"/>
          <w:sz w:val="20"/>
        </w:rPr>
        <w:t xml:space="preserve">. Except as expressly amended hereby, the Letter Agreement remains unchanged and in full force and effect. </w:t>
      </w:r>
      <w:r>
        <w:rPr>
          <w:rFonts w:ascii="Times New Roman;Times;Serif" w:hAnsi="Times New Roman;Times;Serif"/>
          <w:b w:val="false"/>
          <w:i w:val="false"/>
          <w:caps w:val="false"/>
          <w:smallCaps w:val="false"/>
          <w:sz w:val="20"/>
          <w:u w:val="single"/>
        </w:rPr>
        <w:t>Sections 7(b)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7(d)</w:t>
      </w:r>
      <w:r>
        <w:rPr>
          <w:rFonts w:ascii="Times New Roman;Times;Serif" w:hAnsi="Times New Roman;Times;Serif"/>
          <w:b w:val="false"/>
          <w:i w:val="false"/>
          <w:caps w:val="false"/>
          <w:smallCaps w:val="false"/>
          <w:sz w:val="20"/>
        </w:rPr>
        <w:t xml:space="preserve"> of the Letter Agreement are incorporated herein by reference, mutatis mutandis.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duly executed this Amendment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2524" w:type="dxa"/>
        <w:jc w:val="left"/>
        <w:tblInd w:w="0" w:type="dxa"/>
        <w:tblLayout w:type="fixed"/>
        <w:tblCellMar>
          <w:top w:w="0" w:type="dxa"/>
          <w:left w:w="0" w:type="dxa"/>
          <w:bottom w:w="0" w:type="dxa"/>
          <w:right w:w="0" w:type="dxa"/>
        </w:tblCellMar>
      </w:tblPr>
      <w:tblGrid>
        <w:gridCol w:w="75"/>
        <w:gridCol w:w="571"/>
        <w:gridCol w:w="1878"/>
      </w:tblGrid>
      <w:tr>
        <w:trPr/>
        <w:tc>
          <w:tcPr>
            <w:tcW w:w="75" w:type="dxa"/>
            <w:tcBorders/>
            <w:vAlign w:val="center"/>
          </w:tcPr>
          <w:p>
            <w:pPr>
              <w:pStyle w:val="TableContents"/>
              <w:bidi w:val="0"/>
              <w:spacing w:before="0" w:after="283"/>
              <w:jc w:val="left"/>
              <w:rPr/>
            </w:pPr>
            <w:r>
              <w:rPr/>
              <w:t> </w:t>
            </w:r>
          </w:p>
        </w:tc>
        <w:tc>
          <w:tcPr>
            <w:tcW w:w="244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BORROWER:</w:t>
            </w:r>
          </w:p>
        </w:tc>
      </w:tr>
      <w:tr>
        <w:trPr/>
        <w:tc>
          <w:tcPr>
            <w:tcW w:w="75"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caps w:val="false"/>
                <w:smallCaps w:val="false"/>
              </w:rPr>
            </w:pPr>
            <w:r>
              <w:rPr>
                <w:caps w:val="false"/>
                <w:smallCaps w:val="false"/>
              </w:rPr>
              <w:t> </w:t>
            </w:r>
          </w:p>
        </w:tc>
        <w:tc>
          <w:tcPr>
            <w:tcW w:w="187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44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Beneficient Financing, L.L.C.</w:t>
            </w:r>
          </w:p>
        </w:tc>
      </w:tr>
      <w:tr>
        <w:trPr/>
        <w:tc>
          <w:tcPr>
            <w:tcW w:w="75"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caps w:val="false"/>
                <w:smallCaps w:val="false"/>
              </w:rPr>
            </w:pPr>
            <w:r>
              <w:rPr>
                <w:caps w:val="false"/>
                <w:smallCaps w:val="false"/>
              </w:rPr>
              <w:t> </w:t>
            </w:r>
          </w:p>
        </w:tc>
        <w:tc>
          <w:tcPr>
            <w:tcW w:w="187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7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David Rost</w:t>
            </w:r>
          </w:p>
        </w:tc>
      </w:tr>
      <w:tr>
        <w:trPr/>
        <w:tc>
          <w:tcPr>
            <w:tcW w:w="75"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Rost</w:t>
            </w:r>
          </w:p>
        </w:tc>
      </w:tr>
      <w:tr>
        <w:trPr/>
        <w:tc>
          <w:tcPr>
            <w:tcW w:w="75"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r>
        <w:trPr/>
        <w:tc>
          <w:tcPr>
            <w:tcW w:w="75"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caps w:val="false"/>
                <w:smallCaps w:val="false"/>
              </w:rPr>
            </w:pPr>
            <w:r>
              <w:rPr>
                <w:caps w:val="false"/>
                <w:smallCaps w:val="false"/>
              </w:rPr>
              <w:t> </w:t>
            </w:r>
          </w:p>
        </w:tc>
        <w:tc>
          <w:tcPr>
            <w:tcW w:w="187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44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 NEVADA:</w:t>
            </w:r>
          </w:p>
        </w:tc>
      </w:tr>
      <w:tr>
        <w:trPr/>
        <w:tc>
          <w:tcPr>
            <w:tcW w:w="75"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caps w:val="false"/>
                <w:smallCaps w:val="false"/>
              </w:rPr>
            </w:pPr>
            <w:r>
              <w:rPr>
                <w:caps w:val="false"/>
                <w:smallCaps w:val="false"/>
              </w:rPr>
              <w:t> </w:t>
            </w:r>
          </w:p>
        </w:tc>
        <w:tc>
          <w:tcPr>
            <w:tcW w:w="187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44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Beneficient</w:t>
            </w:r>
          </w:p>
        </w:tc>
      </w:tr>
      <w:tr>
        <w:trPr/>
        <w:tc>
          <w:tcPr>
            <w:tcW w:w="75"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caps w:val="false"/>
                <w:smallCaps w:val="false"/>
              </w:rPr>
            </w:pPr>
            <w:r>
              <w:rPr>
                <w:caps w:val="false"/>
                <w:smallCaps w:val="false"/>
              </w:rPr>
              <w:t> </w:t>
            </w:r>
          </w:p>
        </w:tc>
        <w:tc>
          <w:tcPr>
            <w:tcW w:w="187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7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David Rost</w:t>
            </w:r>
          </w:p>
        </w:tc>
      </w:tr>
      <w:tr>
        <w:trPr/>
        <w:tc>
          <w:tcPr>
            <w:tcW w:w="75"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Rost</w:t>
            </w:r>
          </w:p>
        </w:tc>
      </w:tr>
      <w:tr>
        <w:trPr/>
        <w:tc>
          <w:tcPr>
            <w:tcW w:w="75"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r>
        <w:trPr/>
        <w:tc>
          <w:tcPr>
            <w:tcW w:w="75"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caps w:val="false"/>
                <w:smallCaps w:val="false"/>
              </w:rPr>
            </w:pPr>
            <w:r>
              <w:rPr>
                <w:caps w:val="false"/>
                <w:smallCaps w:val="false"/>
              </w:rPr>
              <w:t> </w:t>
            </w:r>
          </w:p>
        </w:tc>
        <w:tc>
          <w:tcPr>
            <w:tcW w:w="187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44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LENDER:</w:t>
            </w:r>
          </w:p>
        </w:tc>
      </w:tr>
      <w:tr>
        <w:trPr/>
        <w:tc>
          <w:tcPr>
            <w:tcW w:w="75" w:type="dxa"/>
            <w:tcBorders/>
            <w:vAlign w:val="center"/>
          </w:tcPr>
          <w:p>
            <w:pPr>
              <w:pStyle w:val="TableContents"/>
              <w:bidi w:val="0"/>
              <w:spacing w:before="0" w:after="283"/>
              <w:jc w:val="left"/>
              <w:rPr/>
            </w:pPr>
            <w:r>
              <w:rPr/>
              <w:t> </w:t>
            </w:r>
          </w:p>
        </w:tc>
        <w:tc>
          <w:tcPr>
            <w:tcW w:w="24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44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HH-BDH LLC</w:t>
            </w:r>
          </w:p>
        </w:tc>
      </w:tr>
      <w:tr>
        <w:trPr/>
        <w:tc>
          <w:tcPr>
            <w:tcW w:w="75"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caps w:val="false"/>
                <w:smallCaps w:val="false"/>
              </w:rPr>
            </w:pPr>
            <w:r>
              <w:rPr>
                <w:caps w:val="false"/>
                <w:smallCaps w:val="false"/>
              </w:rPr>
              <w:t> </w:t>
            </w:r>
          </w:p>
        </w:tc>
        <w:tc>
          <w:tcPr>
            <w:tcW w:w="187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7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Mack Hicks</w:t>
            </w:r>
          </w:p>
        </w:tc>
      </w:tr>
      <w:tr>
        <w:trPr/>
        <w:tc>
          <w:tcPr>
            <w:tcW w:w="75"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Mack Hicks</w:t>
            </w:r>
          </w:p>
        </w:tc>
      </w:tr>
      <w:tr>
        <w:trPr/>
        <w:tc>
          <w:tcPr>
            <w:tcW w:w="75"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887</Words>
  <Characters>4866</Characters>
  <CharactersWithSpaces>5792</CharactersWithSpaces>
  <Paragraphs>239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