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Hicks Mack H.</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460" w:type="dxa"/>
            <w:vAlign w:val="bottom"/>
            <w:tcBorders>
              <w:top w:val="single" w:sz="8" w:color="0000EE"/>
              <w:bottom w:val="single" w:sz="8" w:color="9A9A9A"/>
            </w:tcBorders>
          </w:tcPr>
          <w:p>
            <w:pPr>
              <w:spacing w:after="0"/>
              <w:rPr>
                <w:sz w:val="16"/>
                <w:szCs w:val="16"/>
                <w:color w:val="auto"/>
              </w:rPr>
            </w:pPr>
          </w:p>
        </w:tc>
        <w:tc>
          <w:tcPr>
            <w:tcW w:w="160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03/10/2026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Beneficient</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BENF</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60" w:type="dxa"/>
            <w:vAlign w:val="bottom"/>
          </w:tcPr>
          <w:p>
            <w:pPr>
              <w:ind w:left="12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8"/>
              </w:rPr>
              <w:t>2200 ROSS AVENUE, 50TH FLOOR</w:t>
            </w:r>
          </w:p>
        </w:tc>
      </w:tr>
      <w:tr>
        <w:trPr>
          <w:trHeight w:val="237"/>
        </w:trPr>
        <w:tc>
          <w:tcPr>
            <w:tcW w:w="94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DALLAS</w:t>
            </w:r>
          </w:p>
        </w:tc>
        <w:tc>
          <w:tcPr>
            <w:tcW w:w="86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TX</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75201</w:t>
            </w:r>
          </w:p>
        </w:tc>
      </w:tr>
      <w:tr>
        <w:trPr>
          <w:trHeight w:val="177"/>
        </w:trPr>
        <w:tc>
          <w:tcPr>
            <w:tcW w:w="9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940" w:type="dxa"/>
            <w:vAlign w:val="bottom"/>
          </w:tcPr>
          <w:p>
            <w:pPr>
              <w:ind w:left="40"/>
              <w:spacing w:after="0"/>
              <w:rPr>
                <w:sz w:val="20"/>
                <w:szCs w:val="20"/>
                <w:color w:val="auto"/>
              </w:rPr>
            </w:pPr>
            <w:r>
              <w:rPr>
                <w:rFonts w:ascii="Arial" w:cs="Arial" w:eastAsia="Arial" w:hAnsi="Arial"/>
                <w:sz w:val="15"/>
                <w:szCs w:val="15"/>
                <w:color w:val="auto"/>
              </w:rPr>
              <w:t>(City)</w:t>
            </w:r>
          </w:p>
        </w:tc>
        <w:tc>
          <w:tcPr>
            <w:tcW w:w="860" w:type="dxa"/>
            <w:vAlign w:val="bottom"/>
          </w:tcPr>
          <w:p>
            <w:pPr>
              <w:ind w:left="12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2760" w:type="dxa"/>
            <w:vAlign w:val="bottom"/>
            <w:tcBorders>
              <w:bottom w:val="single" w:sz="8" w:color="2C2C2C"/>
            </w:tcBorders>
            <w:gridSpan w:val="5"/>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2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jc w:val="right"/>
              <w:ind w:right="314"/>
              <w:spacing w:after="0"/>
              <w:rPr>
                <w:sz w:val="20"/>
                <w:szCs w:val="20"/>
                <w:color w:val="auto"/>
              </w:rPr>
            </w:pPr>
            <w:r>
              <w:rPr>
                <w:rFonts w:ascii="Times New Roman" w:cs="Times New Roman" w:eastAsia="Times New Roman" w:hAnsi="Times New Roman"/>
                <w:sz w:val="20"/>
                <w:szCs w:val="20"/>
                <w:color w:val="0000FF"/>
              </w:rPr>
              <w:t>11,560,705</w:t>
            </w:r>
          </w:p>
        </w:tc>
        <w:tc>
          <w:tcPr>
            <w:tcW w:w="7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20"/>
                <w:szCs w:val="20"/>
                <w:color w:val="0000FF"/>
              </w:rPr>
              <w:t>I</w:t>
            </w:r>
          </w:p>
        </w:tc>
        <w:tc>
          <w:tcPr>
            <w:tcW w:w="190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20"/>
                <w:szCs w:val="20"/>
                <w:color w:val="0000FF"/>
                <w:w w:val="96"/>
              </w:rPr>
              <w:t>See Footnotes</w:t>
            </w:r>
            <w:r>
              <w:rPr>
                <w:rFonts w:ascii="Times New Roman" w:cs="Times New Roman" w:eastAsia="Times New Roman" w:hAnsi="Times New Roman"/>
                <w:sz w:val="25"/>
                <w:szCs w:val="25"/>
                <w:color w:val="008000"/>
                <w:w w:val="96"/>
                <w:vertAlign w:val="superscript"/>
              </w:rPr>
              <w:t>(1)</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gridSpan w:val="5"/>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2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jc w:val="right"/>
              <w:ind w:right="434"/>
              <w:spacing w:after="0"/>
              <w:rPr>
                <w:sz w:val="20"/>
                <w:szCs w:val="20"/>
                <w:color w:val="auto"/>
              </w:rPr>
            </w:pPr>
            <w:r>
              <w:rPr>
                <w:rFonts w:ascii="Times New Roman" w:cs="Times New Roman" w:eastAsia="Times New Roman" w:hAnsi="Times New Roman"/>
                <w:sz w:val="20"/>
                <w:szCs w:val="20"/>
                <w:color w:val="0000FF"/>
              </w:rPr>
              <w:t>149,904</w:t>
            </w:r>
          </w:p>
        </w:tc>
        <w:tc>
          <w:tcPr>
            <w:tcW w:w="7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20"/>
                <w:szCs w:val="20"/>
                <w:color w:val="0000FF"/>
              </w:rPr>
              <w:t>I</w:t>
            </w:r>
          </w:p>
        </w:tc>
        <w:tc>
          <w:tcPr>
            <w:tcW w:w="190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20"/>
                <w:szCs w:val="20"/>
                <w:color w:val="0000FF"/>
                <w:w w:val="96"/>
              </w:rPr>
              <w:t>See Footnotes</w:t>
            </w:r>
            <w:r>
              <w:rPr>
                <w:rFonts w:ascii="Times New Roman" w:cs="Times New Roman" w:eastAsia="Times New Roman" w:hAnsi="Times New Roman"/>
                <w:sz w:val="25"/>
                <w:szCs w:val="25"/>
                <w:color w:val="008000"/>
                <w:w w:val="96"/>
                <w:vertAlign w:val="superscript"/>
              </w:rPr>
              <w:t>(2)</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320" w:type="dxa"/>
            <w:vAlign w:val="bottom"/>
            <w:tcBorders>
              <w:top w:val="single" w:sz="8" w:color="2C2C2C"/>
            </w:tcBorders>
            <w:gridSpan w:val="9"/>
          </w:tcPr>
          <w:p>
            <w:pPr>
              <w:jc w:val="center"/>
              <w:ind w:right="621"/>
              <w:spacing w:after="0"/>
              <w:rPr>
                <w:sz w:val="20"/>
                <w:szCs w:val="20"/>
                <w:color w:val="auto"/>
              </w:rPr>
            </w:pPr>
            <w:r>
              <w:rPr>
                <w:rFonts w:ascii="Arial" w:cs="Arial" w:eastAsia="Arial" w:hAnsi="Arial"/>
                <w:sz w:val="20"/>
                <w:szCs w:val="20"/>
                <w:b w:val="1"/>
                <w:bCs w:val="1"/>
                <w:color w:val="auto"/>
                <w:w w:val="96"/>
              </w:rPr>
              <w:t>Table II - Derivative Securities Beneficially Owned</w:t>
            </w:r>
          </w:p>
        </w:tc>
        <w:tc>
          <w:tcPr>
            <w:tcW w:w="98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700" w:type="dxa"/>
            <w:vAlign w:val="bottom"/>
            <w:gridSpan w:val="11"/>
          </w:tcPr>
          <w:p>
            <w:pPr>
              <w:jc w:val="center"/>
              <w:ind w:right="241"/>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9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80" w:type="dxa"/>
            <w:vAlign w:val="bottom"/>
          </w:tcPr>
          <w:p>
            <w:pPr>
              <w:spacing w:after="0"/>
              <w:rPr>
                <w:sz w:val="18"/>
                <w:szCs w:val="18"/>
                <w:color w:val="auto"/>
              </w:rPr>
            </w:pPr>
          </w:p>
        </w:tc>
        <w:tc>
          <w:tcPr>
            <w:tcW w:w="1880" w:type="dxa"/>
            <w:vAlign w:val="bottom"/>
            <w:gridSpan w:val="5"/>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4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740" w:type="dxa"/>
            <w:vAlign w:val="bottom"/>
            <w:vMerge w:val="restart"/>
          </w:tcPr>
          <w:p>
            <w:pPr>
              <w:ind w:left="16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4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40" w:type="dxa"/>
            <w:vAlign w:val="bottom"/>
          </w:tcPr>
          <w:p>
            <w:pPr>
              <w:ind w:left="16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74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74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gridSpan w:val="5"/>
            <w:vMerge w:val="restart"/>
          </w:tcPr>
          <w:p>
            <w:pPr>
              <w:ind w:left="80"/>
              <w:spacing w:after="0"/>
              <w:rPr>
                <w:sz w:val="20"/>
                <w:szCs w:val="20"/>
                <w:color w:val="auto"/>
              </w:rPr>
            </w:pPr>
            <w:r>
              <w:rPr>
                <w:rFonts w:ascii="Times New Roman" w:cs="Times New Roman" w:eastAsia="Times New Roman" w:hAnsi="Times New Roman"/>
                <w:sz w:val="20"/>
                <w:szCs w:val="20"/>
                <w:color w:val="0000FF"/>
              </w:rPr>
              <w:t>Class B Common Stock</w:t>
            </w:r>
          </w:p>
        </w:tc>
        <w:tc>
          <w:tcPr>
            <w:tcW w:w="1260" w:type="dxa"/>
            <w:vAlign w:val="bottom"/>
            <w:gridSpan w:val="3"/>
            <w:vMerge w:val="restart"/>
          </w:tcPr>
          <w:p>
            <w:pPr>
              <w:ind w:left="700"/>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3"/>
                <w:szCs w:val="13"/>
                <w:color w:val="008000"/>
              </w:rPr>
              <w:t>(3)</w:t>
            </w:r>
          </w:p>
        </w:tc>
        <w:tc>
          <w:tcPr>
            <w:tcW w:w="176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Class A Common</w:t>
            </w:r>
          </w:p>
        </w:tc>
        <w:tc>
          <w:tcPr>
            <w:tcW w:w="74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2,066</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8000"/>
              </w:rPr>
              <w:t>(3)</w:t>
            </w:r>
          </w:p>
        </w:tc>
        <w:tc>
          <w:tcPr>
            <w:tcW w:w="98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color w:val="0000FF"/>
              </w:rPr>
              <w:t>See Footnotes</w:t>
            </w:r>
            <w:r>
              <w:rPr>
                <w:rFonts w:ascii="Times New Roman" w:cs="Times New Roman" w:eastAsia="Times New Roman" w:hAnsi="Times New Roman"/>
                <w:sz w:val="25"/>
                <w:szCs w:val="25"/>
                <w:color w:val="008000"/>
                <w:vertAlign w:val="superscript"/>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gridSpan w:val="5"/>
            <w:vMerge w:val="continue"/>
          </w:tcPr>
          <w:p>
            <w:pPr>
              <w:spacing w:after="0"/>
              <w:rPr>
                <w:sz w:val="17"/>
                <w:szCs w:val="17"/>
                <w:color w:val="auto"/>
              </w:rPr>
            </w:pPr>
          </w:p>
        </w:tc>
        <w:tc>
          <w:tcPr>
            <w:tcW w:w="1260" w:type="dxa"/>
            <w:vAlign w:val="bottom"/>
            <w:gridSpan w:val="3"/>
            <w:vMerge w:val="continue"/>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1760" w:type="dxa"/>
            <w:vAlign w:val="bottom"/>
            <w:vMerge w:val="restart"/>
          </w:tcPr>
          <w:p>
            <w:pPr>
              <w:ind w:left="700"/>
              <w:spacing w:after="0"/>
              <w:rPr>
                <w:sz w:val="20"/>
                <w:szCs w:val="20"/>
                <w:color w:val="auto"/>
              </w:rPr>
            </w:pPr>
            <w:r>
              <w:rPr>
                <w:rFonts w:ascii="Times New Roman" w:cs="Times New Roman" w:eastAsia="Times New Roman" w:hAnsi="Times New Roman"/>
                <w:sz w:val="20"/>
                <w:szCs w:val="20"/>
                <w:color w:val="0000FF"/>
              </w:rPr>
              <w:t>Stock</w:t>
            </w:r>
          </w:p>
        </w:tc>
        <w:tc>
          <w:tcPr>
            <w:tcW w:w="7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gridSpan w:val="2"/>
          </w:tcPr>
          <w:p>
            <w:pPr>
              <w:spacing w:after="0"/>
              <w:rPr>
                <w:sz w:val="9"/>
                <w:szCs w:val="9"/>
                <w:color w:val="auto"/>
              </w:rPr>
            </w:pPr>
          </w:p>
        </w:tc>
        <w:tc>
          <w:tcPr>
            <w:tcW w:w="1460" w:type="dxa"/>
            <w:vAlign w:val="bottom"/>
            <w:tcBorders>
              <w:bottom w:val="single" w:sz="8" w:color="2C2C2C"/>
            </w:tcBorders>
            <w:gridSpan w:val="2"/>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020" w:type="dxa"/>
            <w:vAlign w:val="bottom"/>
            <w:tcBorders>
              <w:top w:val="single" w:sz="8" w:color="2C2C2C"/>
            </w:tcBorders>
            <w:gridSpan w:val="8"/>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20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58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3"/>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Hicks Mack H.</w:t>
              </w:r>
            </w:hyperlink>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60" w:type="dxa"/>
            <w:vAlign w:val="bottom"/>
            <w:tcBorders>
              <w:top w:val="single" w:sz="8" w:color="0000EE"/>
              <w:bottom w:val="single" w:sz="8" w:color="9A9A9A"/>
            </w:tcBorders>
          </w:tcPr>
          <w:p>
            <w:pPr>
              <w:spacing w:after="0"/>
              <w:rPr>
                <w:sz w:val="17"/>
                <w:szCs w:val="17"/>
                <w:color w:val="auto"/>
              </w:rPr>
            </w:pPr>
          </w:p>
        </w:tc>
        <w:tc>
          <w:tcPr>
            <w:tcW w:w="200" w:type="dxa"/>
            <w:vAlign w:val="bottom"/>
            <w:tcBorders>
              <w:top w:val="single" w:sz="8" w:color="0000EE"/>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5"/>
                <w:szCs w:val="15"/>
                <w:color w:val="auto"/>
              </w:rPr>
              <w:t>(First)</w:t>
            </w:r>
          </w:p>
        </w:tc>
        <w:tc>
          <w:tcPr>
            <w:tcW w:w="126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0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2200 ROSS AVENUE, 50TH FLOOR</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60" w:type="dxa"/>
            <w:vAlign w:val="bottom"/>
            <w:tcBorders>
              <w:bottom w:val="single" w:sz="8" w:color="9A9A9A"/>
            </w:tcBorders>
          </w:tcPr>
          <w:p>
            <w:pPr>
              <w:spacing w:after="0"/>
              <w:rPr>
                <w:sz w:val="20"/>
                <w:szCs w:val="20"/>
                <w:color w:val="auto"/>
              </w:rPr>
            </w:pPr>
          </w:p>
        </w:tc>
        <w:tc>
          <w:tcPr>
            <w:tcW w:w="200" w:type="dxa"/>
            <w:vAlign w:val="bottom"/>
            <w:tcBorders>
              <w:bottom w:val="single" w:sz="8" w:color="9A9A9A"/>
            </w:tcBorders>
          </w:tcPr>
          <w:p>
            <w:pPr>
              <w:spacing w:after="0"/>
              <w:rPr>
                <w:sz w:val="20"/>
                <w:szCs w:val="20"/>
                <w:color w:val="auto"/>
              </w:rPr>
            </w:pPr>
          </w:p>
        </w:tc>
        <w:tc>
          <w:tcPr>
            <w:tcW w:w="118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c>
          <w:tcPr>
            <w:tcW w:w="20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8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20"/>
                <w:szCs w:val="20"/>
                <w:color w:val="0000FF"/>
              </w:rPr>
              <w:t>DALLAS</w:t>
            </w: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TX</w:t>
            </w:r>
          </w:p>
        </w:tc>
        <w:tc>
          <w:tcPr>
            <w:tcW w:w="126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0000FF"/>
              </w:rPr>
              <w:t>75201</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gridSpan w:val="2"/>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5"/>
                <w:szCs w:val="15"/>
                <w:color w:val="auto"/>
              </w:rPr>
              <w:t>(State)</w:t>
            </w:r>
          </w:p>
        </w:tc>
        <w:tc>
          <w:tcPr>
            <w:tcW w:w="1260" w:type="dxa"/>
            <w:vAlign w:val="bottom"/>
            <w:gridSpan w:val="3"/>
          </w:tcPr>
          <w:p>
            <w:pPr>
              <w:ind w:left="120"/>
              <w:spacing w:after="0"/>
              <w:rPr>
                <w:sz w:val="20"/>
                <w:szCs w:val="20"/>
                <w:color w:val="auto"/>
              </w:rPr>
            </w:pPr>
            <w:r>
              <w:rPr>
                <w:rFonts w:ascii="Arial" w:cs="Arial" w:eastAsia="Arial" w:hAnsi="Arial"/>
                <w:sz w:val="15"/>
                <w:szCs w:val="15"/>
                <w:color w:val="auto"/>
              </w:rPr>
              <w:t>(Zip)</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460" w:type="dxa"/>
            <w:vAlign w:val="bottom"/>
            <w:tcBorders>
              <w:bottom w:val="single" w:sz="8" w:color="2C2C2C"/>
            </w:tcBorders>
            <w:gridSpan w:val="2"/>
          </w:tcPr>
          <w:p>
            <w:pPr>
              <w:spacing w:after="0"/>
              <w:rPr>
                <w:sz w:val="8"/>
                <w:szCs w:val="8"/>
                <w:color w:val="auto"/>
              </w:rPr>
            </w:pPr>
          </w:p>
        </w:tc>
        <w:tc>
          <w:tcPr>
            <w:tcW w:w="1560" w:type="dxa"/>
            <w:vAlign w:val="bottom"/>
            <w:tcBorders>
              <w:bottom w:val="single" w:sz="8" w:color="2C2C2C"/>
            </w:tcBorders>
            <w:gridSpan w:val="3"/>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02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00" w:type="dxa"/>
            <w:vAlign w:val="bottom"/>
            <w:gridSpan w:val="6"/>
          </w:tcPr>
          <w:p>
            <w:pPr>
              <w:spacing w:after="0" w:line="255" w:lineRule="exact"/>
              <w:rPr>
                <w:rFonts w:ascii="Times New Roman" w:cs="Times New Roman" w:eastAsia="Times New Roman" w:hAnsi="Times New Roman"/>
                <w:sz w:val="24"/>
                <w:szCs w:val="24"/>
                <w:color w:val="0000EE"/>
              </w:rPr>
            </w:pPr>
            <w:hyperlink r:id="rId13">
              <w:r>
                <w:rPr>
                  <w:rFonts w:ascii="Times New Roman" w:cs="Times New Roman" w:eastAsia="Times New Roman" w:hAnsi="Times New Roman"/>
                  <w:sz w:val="24"/>
                  <w:szCs w:val="24"/>
                  <w:color w:val="0000EE"/>
                </w:rPr>
                <w:t>Hicks Holdings Operating LLC</w:t>
              </w:r>
            </w:hyperlink>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60" w:type="dxa"/>
            <w:vAlign w:val="bottom"/>
            <w:tcBorders>
              <w:top w:val="single" w:sz="8" w:color="0000EE"/>
              <w:bottom w:val="single" w:sz="8" w:color="9A9A9A"/>
            </w:tcBorders>
          </w:tcPr>
          <w:p>
            <w:pPr>
              <w:spacing w:after="0"/>
              <w:rPr>
                <w:sz w:val="17"/>
                <w:szCs w:val="17"/>
                <w:color w:val="auto"/>
              </w:rPr>
            </w:pPr>
          </w:p>
        </w:tc>
        <w:tc>
          <w:tcPr>
            <w:tcW w:w="200" w:type="dxa"/>
            <w:vAlign w:val="bottom"/>
            <w:tcBorders>
              <w:top w:val="single" w:sz="8" w:color="0000EE"/>
              <w:bottom w:val="single" w:sz="8" w:color="9A9A9A"/>
            </w:tcBorders>
          </w:tcPr>
          <w:p>
            <w:pPr>
              <w:spacing w:after="0"/>
              <w:rPr>
                <w:sz w:val="17"/>
                <w:szCs w:val="17"/>
                <w:color w:val="auto"/>
              </w:rPr>
            </w:pPr>
          </w:p>
        </w:tc>
        <w:tc>
          <w:tcPr>
            <w:tcW w:w="1180" w:type="dxa"/>
            <w:vAlign w:val="bottom"/>
            <w:tcBorders>
              <w:top w:val="single" w:sz="8" w:color="0000EE"/>
              <w:bottom w:val="single" w:sz="8" w:color="9A9A9A"/>
            </w:tcBorders>
          </w:tcPr>
          <w:p>
            <w:pPr>
              <w:spacing w:after="0"/>
              <w:rPr>
                <w:sz w:val="17"/>
                <w:szCs w:val="17"/>
                <w:color w:val="auto"/>
              </w:rPr>
            </w:pPr>
          </w:p>
        </w:tc>
        <w:tc>
          <w:tcPr>
            <w:tcW w:w="280" w:type="dxa"/>
            <w:vAlign w:val="bottom"/>
            <w:tcBorders>
              <w:top w:val="single" w:sz="8" w:color="0000EE"/>
              <w:bottom w:val="single" w:sz="8" w:color="9A9A9A"/>
            </w:tcBorders>
          </w:tcPr>
          <w:p>
            <w:pPr>
              <w:spacing w:after="0"/>
              <w:rPr>
                <w:sz w:val="17"/>
                <w:szCs w:val="17"/>
                <w:color w:val="auto"/>
              </w:rPr>
            </w:pPr>
          </w:p>
        </w:tc>
        <w:tc>
          <w:tcPr>
            <w:tcW w:w="100" w:type="dxa"/>
            <w:vAlign w:val="bottom"/>
            <w:tcBorders>
              <w:top w:val="single" w:sz="8" w:color="0000EE"/>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5"/>
                <w:szCs w:val="15"/>
                <w:color w:val="auto"/>
              </w:rPr>
              <w:t>(First)</w:t>
            </w:r>
          </w:p>
        </w:tc>
        <w:tc>
          <w:tcPr>
            <w:tcW w:w="126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2200 ROSS AVENUE</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20"/>
                <w:szCs w:val="20"/>
                <w:color w:val="0000FF"/>
              </w:rPr>
              <w:t>50TH FLOOR</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8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20"/>
                <w:szCs w:val="20"/>
                <w:color w:val="0000FF"/>
              </w:rPr>
              <w:t>DALLAS</w:t>
            </w: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TX</w:t>
            </w:r>
          </w:p>
        </w:tc>
        <w:tc>
          <w:tcPr>
            <w:tcW w:w="126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0000FF"/>
              </w:rPr>
              <w:t>75201</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40"/>
          </w:cols>
          <w:pgMar w:left="480" w:top="230" w:right="479" w:bottom="0" w:gutter="0" w:footer="0" w:header="0"/>
          <w:type w:val="continuous"/>
        </w:sectPr>
      </w:pPr>
    </w:p>
    <w:p>
      <w:pPr>
        <w:spacing w:after="0" w:line="147"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ectPr>
          <w:pgSz w:w="11900" w:h="16838"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2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2798445" cy="22225"/>
                    </a:xfrm>
                    <a:prstGeom prst="rect">
                      <a:avLst/>
                    </a:prstGeom>
                    <a:noFill/>
                  </pic:spPr>
                </pic:pic>
              </a:graphicData>
            </a:graphic>
          </wp:anchor>
        </w:drawing>
        <w:t>Explanation of Responses:</w:t>
      </w:r>
    </w:p>
    <w:p>
      <w:pPr>
        <w:spacing w:after="0" w:line="53" w:lineRule="exact"/>
        <w:rPr>
          <w:sz w:val="20"/>
          <w:szCs w:val="20"/>
          <w:color w:val="auto"/>
        </w:rPr>
      </w:pPr>
    </w:p>
    <w:p>
      <w:pPr>
        <w:ind w:right="60" w:firstLine="5"/>
        <w:spacing w:after="0" w:line="244"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of Class A common stock, par value $0.001 per share (the "Class A Shares"), of Beneficient (the "Issuer") are held by Hicks Holdings Operating, LLC, a Delaware limited liability company ("Hicks Holdings"). Mack Hicks is the sole member of Hicks Holdings and has the power to vote and direct the disposition of such shares. Mr. Hicks disclaims beneficial ownership of any securities directly held by Hicks Holdings, except to the extent of his pecuniary interest in such securities.</w:t>
      </w:r>
    </w:p>
    <w:p>
      <w:pPr>
        <w:spacing w:after="0" w:line="29" w:lineRule="exact"/>
        <w:rPr>
          <w:rFonts w:ascii="Times New Roman" w:cs="Times New Roman" w:eastAsia="Times New Roman" w:hAnsi="Times New Roman"/>
          <w:sz w:val="15"/>
          <w:szCs w:val="15"/>
          <w:color w:val="008000"/>
        </w:rPr>
      </w:pPr>
    </w:p>
    <w:p>
      <w:pPr>
        <w:ind w:right="20" w:firstLine="5"/>
        <w:spacing w:after="0" w:line="244"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Class A Shares of the Issuer are held by HH-BDH, LLC ("HH-BDH"). Hicks Holdings is the sole member of HH-BDH. Mr. Hicks is the sole member of Hicks Holdings and has the power to vote and direct the disposition of such shares. Mr. Hicks disclaims beneficial ownership of any securities directly held by HH-BDH, except to the extent of his pecuniary interest in such securities.</w:t>
      </w:r>
    </w:p>
    <w:p>
      <w:pPr>
        <w:spacing w:after="0" w:line="29" w:lineRule="exact"/>
        <w:rPr>
          <w:rFonts w:ascii="Times New Roman" w:cs="Times New Roman" w:eastAsia="Times New Roman" w:hAnsi="Times New Roman"/>
          <w:sz w:val="15"/>
          <w:szCs w:val="15"/>
          <w:color w:val="008000"/>
        </w:rPr>
      </w:pPr>
    </w:p>
    <w:p>
      <w:pPr>
        <w:jc w:val="both"/>
        <w:ind w:right="100" w:firstLine="5"/>
        <w:spacing w:after="0" w:line="244"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share of Class B common stock, par value $0.001 per share (the "Class B Shares"), of the Issuer is convertible into Class A Shares on a one-for-one basis (i) at any time at the option of the holder or (ii) upon any transfer, except for certain transfers described in the Issuer's articles of incorporation. The Class B Shares are convertible on June 7, 2023, and do not expire.</w:t>
      </w:r>
    </w:p>
    <w:p>
      <w:pPr>
        <w:spacing w:after="0" w:line="29" w:lineRule="exact"/>
        <w:rPr>
          <w:rFonts w:ascii="Times New Roman" w:cs="Times New Roman" w:eastAsia="Times New Roman" w:hAnsi="Times New Roman"/>
          <w:sz w:val="15"/>
          <w:szCs w:val="15"/>
          <w:color w:val="008000"/>
        </w:rPr>
      </w:pPr>
    </w:p>
    <w:p>
      <w:pPr>
        <w:ind w:right="140" w:firstLine="5"/>
        <w:spacing w:after="0" w:line="259"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Class B Shares are held by Hicks Holdings. Mr. Hicks is the sole member of Hicks Holdings and has the power to vote and direct the disposition of such shares. Mr. Hicks disclaims beneficial ownership of any securities directly held by Hicks Holdings, except to the extent of his pecuniary interest in such securities.</w:t>
      </w:r>
    </w:p>
    <w:p>
      <w:pPr>
        <w:sectPr>
          <w:pgSz w:w="11900" w:h="16838" w:orient="portrait"/>
          <w:cols w:equalWidth="0" w:num="1">
            <w:col w:w="10820"/>
          </w:cols>
          <w:pgMar w:left="520" w:top="185" w:right="559" w:bottom="1440" w:gutter="0" w:footer="0" w:header="0"/>
        </w:sectPr>
      </w:pPr>
    </w:p>
    <w:p>
      <w:pPr>
        <w:spacing w:after="0" w:line="4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By: /s/ Mack Hicks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32143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321435"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Mack Hicks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60198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60198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Hicks Holdings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33159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31595"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LLC By: /s/ Mack Hicks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2491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22491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Name: Mack Hicks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5793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2579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Sole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67056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67056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04/20/2026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04/20/2026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446" w:lineRule="exact"/>
        <w:rPr>
          <w:sz w:val="20"/>
          <w:szCs w:val="20"/>
          <w:color w:val="auto"/>
        </w:rPr>
      </w:pPr>
    </w:p>
    <w:p>
      <w:pPr>
        <w:sectPr>
          <w:pgSz w:w="11900" w:h="16838" w:orient="portrait"/>
          <w:cols w:equalWidth="0" w:num="2">
            <w:col w:w="8640" w:space="80"/>
            <w:col w:w="2100"/>
          </w:cols>
          <w:pgMar w:left="520" w:top="185" w:right="5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85"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10" Type="http://schemas.openxmlformats.org/officeDocument/2006/relationships/hyperlink" Target="http://www.sec.gov/cgi-bin/browse-edgar?action=getcompany&amp;CIK=0001413224" TargetMode="External"/><Relationship Id="rId11" Type="http://schemas.openxmlformats.org/officeDocument/2006/relationships/hyperlink" Target="http://www.sec.gov/cgi-bin/browse-edgar?action=getcompany&amp;CIK=0001775734" TargetMode="External"/><Relationship Id="rId13" Type="http://schemas.openxmlformats.org/officeDocument/2006/relationships/hyperlink" Target="http://www.sec.gov/cgi-bin/browse-edgar?action=getcompany&amp;CIK=00017759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2026-04-20T18:03:41Z</dcterms:created>
  <dcterms:modified xsi:type="dcterms:W3CDTF">2026-04-20T18:03:41Z</dcterms:modified>
</cp:coreProperties>
</file>