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0001775734</w:t>
              </w:r>
            </w:hyperlink>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Beneficient Co Group, L.P.</w:t>
                  </w:r>
                </w:p>
              </w:tc>
            </w:tr>
            <w:tr>
              <w:trPr/>
              <w:tc>
                <w:tcPr>
                  <w:tcW w:w="38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Beneficient Company Group, L.P.</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Beneficient</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2023</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Beneficient</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214-445-4700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Ezell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Financial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Cangany, Jr.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Peter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Schnitzer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Bruce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Director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Fletcher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Derek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Fiduciary Officer, Director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Silk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James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Executive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Wendel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Karen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Rutledge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Technology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Donegan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Patrick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Hicks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Mack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2026-07-08</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Issuer offered Convertible Preferred Stock for alternative assets acquired by trusts consolidated with Issuer for financial statement purposes.</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AltAccess Securities Company, L.P.</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000119441</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Street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75201</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486" w:type="dxa"/>
              <w:jc w:val="left"/>
              <w:tblInd w:w="-7" w:type="dxa"/>
              <w:tblLayout w:type="fixed"/>
              <w:tblCellMar>
                <w:top w:w="28" w:type="dxa"/>
                <w:left w:w="28" w:type="dxa"/>
                <w:bottom w:w="28" w:type="dxa"/>
                <w:right w:w="28" w:type="dxa"/>
              </w:tblCellMar>
            </w:tblPr>
            <w:tblGrid>
              <w:gridCol w:w="1486"/>
            </w:tblGrid>
            <w:tr>
              <w:trPr/>
              <w:tc>
                <w:tcPr>
                  <w:tcW w:w="148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7,444,545</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7,444,545</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Issued 744,455 shares of Convertible Preferred Stock convertible into Class A Common Stock initially at a Conversion Price of $3.6514 per share, subject to reset from time to time with a floor price of $1.8257 per share.</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215,892</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Represents sales commissions paid to AltAccess Securities Company, L.P. as of July 8, 2026.</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597"/>
        <w:gridCol w:w="2317"/>
        <w:gridCol w:w="2356"/>
        <w:gridCol w:w="2257"/>
        <w:gridCol w:w="1678"/>
      </w:tblGrid>
      <w:tr>
        <w:trPr>
          <w:tblHeader w:val="true"/>
        </w:trPr>
        <w:tc>
          <w:tcPr>
            <w:tcW w:w="159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31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35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25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67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59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Beneficient</w:t>
            </w:r>
          </w:p>
        </w:tc>
        <w:tc>
          <w:tcPr>
            <w:tcW w:w="231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David B. Rost</w:t>
            </w:r>
          </w:p>
        </w:tc>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 B. Rost</w:t>
            </w:r>
          </w:p>
        </w:tc>
        <w:tc>
          <w:tcPr>
            <w:tcW w:w="225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Counsel</w:t>
            </w:r>
          </w:p>
        </w:tc>
        <w:tc>
          <w:tcPr>
            <w:tcW w:w="167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2026-07-24</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775734"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numbering" Target="numbering.xml"/><Relationship Id="rId141" Type="http://schemas.openxmlformats.org/officeDocument/2006/relationships/fontTable" Target="fontTable.xml"/><Relationship Id="rId1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1762</Words>
  <Characters>9890</Characters>
  <CharactersWithSpaces>11224</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