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Beneficient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001-41715</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72-1573705</w:t>
            </w:r>
          </w:p>
        </w:tc>
      </w:t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325 North St. Paul Street, Suite 4850</w:t>
            </w:r>
          </w:p>
        </w:tc>
        <w:tc>
          <w:tcPr>
            <w:tcW w:w="168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Dallas, Texas 75201</w:t>
            </w:r>
          </w:p>
        </w:tc>
        <w:tc>
          <w:tcPr>
            <w:tcW w:w="168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(214) 445-4700</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N/A</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Shares of Class A common stock, par value $0.001 per</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BENF</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BENFW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A common stock, par value $0.001 per share, and</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one share of Series A convertible preferred stock, par value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$0.001 per share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8, 2026, Beneficient, a Nevada corporation (the “Company”), through one of its subsidiaries, funded the closing of a primary capital transaction pursuant to definitive agreements entered into on April 7, 2026 with a customer with respect to a limited partner interest in an investment fund with a net asset value of $8.75 million (the “Transaction”). Pursuant to the Transaction, the Company’s customized trust vehicles acquired a limited partner interest, and in exchange for such, the customer received 875,214 shares of the Company’s Series B-10 Resettable Convertible Preferred Stock, par value $0.001 per share (the “Series B-10 Preferred Stock”), with such Series B-10 Preferred Stock being convertible into shares of the Company’s Class A Common Stock, par value $0.001 per share (the “Class A Common Stock”). Following the closing of the Transaction, the Company participates in an unrealized gain of approximately $1.2 million, which represents the Company’s pro rata interest in the appreciation of the customer’s existing asset portfolio.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the Series B-10 Preferred Stock pursuant to the Transaction was not registered under the Securities Act of 1933, as amended (the “Securities Act”), and was issued in reliance upon the exemption provided in Section 4(a)(2) of the Securities Act and Regulation D promulgated thereunder.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B-10 Preferred Stock is convertible into Class A Common Stock initially at a conversion price of $3.5479 per share (the “B-10 Conversion Price”). The B-10 Conversion Price is subject to reset from time to time and a floor price of $1.2418 per share. A maximum of 7,047,947 shares of Class A Common Stock may be issued upon conversion of the Series B-10 Preferred Stock. The information in Item 5.03 concerning the material terms of the Series B-10 Preferred Stock is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Modifications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required by this Item 3.03 is included in Item 5.03 of this Current Report on Form 8-K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B-10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8, 2026, the Company filed a certificate of designation (the “B-10 Certificate of Designation”) with the Secretary of State of Nevada, effective as of the time of filing, designating the rights, preferences, privileges and restrictions of the shares of the Series B-10 Preferred Stock. The material terms of the Series B-10 Preferred Stock are described below. The total number of authorized shares of the Series B-10 Preferred Stock is 875,214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Conversion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share of Series B-10 Preferred Stock is convertible, at the option of the holder thereof upon two business days’ written notice to the Company, into a number of shares of Class A Common Stock that is equal to $10.00 divided by the B-10 Conversion Price in effect as of the date of such notice (the “B-10 Conversion Rate”). The B-10 Conversion Price shall be subject to reset on each date (each such date, a “B-10 Reset Date”) that is the last day of each month following the date of issuance of the Series B-10 Preferred Stock (the “B-10 Original Issue Date”). On each B-10 Reset Date, the B-10 Conversion Price shall be increased or decreased to the five day trailing volume weighted average price of the Class A Common Stock on the Nasdaq Capital Market or such other national securities exchange on which the Class A Common Stock is listed for trading as of the applicable B-10 Reset Date as reported by Bloomberg Financial Markets or an equivalent reporting service as determined by the Company (the “Prevailing Market Price”), provided that in no event shall the reset B-10 Conversion Price be (a) less than 35% of the initial B-10 Conversion Price or (b) higher than the initial B-10 Conversion Price, in each case subject to adjustments for stock dividends, splits or combinations, reorganizations, recapitalizations or similar transactions. As further described in the B-10 Certificate of Designation, the Company will not issue any shares of Class A Common Stock upon conversion of any Series B-10 Preferred Stock if the issuance of such shares of Class A Common Stock would exceed the Exchange Cap (as defined below), except that such limitation shall not apply in the event that the Company obtains the approval of its stockholders as required by the applicable rules and regulations of The Nasdaq Stock Market, LLC (“Nasdaq”) for issuances of shares of Class A Common Stock in excess of the Exchange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outstanding share of Series B-10 Preferred Stock will automatically convert into a number of shares of Class A Common Stock (the “B-10 Mandatory Conversion”) as is determined by the B-10 Conversion Rate then in effect on the date (the “B-10 Mandatory Conversion Date”) that is the earliest to occur of: (a) the last day of the month in which the fifth anniversary of the B-10 Original Issue Date occurs, if either the Company has filed all annual reports on Form 10-K and quarterly reports on Form 10-Q that are then required to have been filed in the preceding twelve months with the United States Securities and Exchange Commission (the “SEC”) under the Securities Exchange Act of 1934, as amended (the “Exchange Act”), or a resale registration statement with respect to the shares of Class A Common Stock underlying the Series B-10 Preferred Stock (the “B-10 Resale Registration Statement”) has become effective and is in full force and effect at the time of such B-10 Mandatory Conversion and (b) if the conditions of clause (a) are not met on the date that is the last day of the month in which the fifth anniversary of the B-10 Original Issue Date occurs, the first date thereafter on which any shares of Series B-10 Preferred Stock may be resold pursuant to Rule 144 under the Securities Act, or the B-10 Resale Registration Statement has become effective. Notwithstanding the foregoing, the Series B-10 Preferred Stock shall not convert into Class A Common Stock to the extent such conversion would cause a holder to exceed (i) 4.99% (the “B-10 Beneficial Ownership Limitation”) of the number of shares of the Class A Common Stock outstanding immediately after giving effect to the issuance of shares of Class A Common Stock issuable upon conversion of Series B-10 Preferred Stock held by the applicable holder or (ii) the aggregate number of shares of Class A Common Stock that the Company may issue upon conversion of the Series B-10 Preferred Stock without breaching the Company’s obligations under the rules and regulations of Nasdaq (the number of shares which may be issued without violating such rules and regulations, the “Exchange Cap”). To the extent a conversion would cause a holder to exceed the B-10 Beneficial Ownership Limitation or Exchange Cap, as applicable, the conversion of the portion of such conversion that would exceed the B-10 Beneficial Ownership Limitation or Exchange Cap, as applicable, shall be delayed until the first day the conversion of such portion would not cause the holder to exceed the B-10 Beneficial Ownership Limitation or, with respect to the Exchange Cap, when stockholder approval as required by the applicable rules and regulations of Nasdaq has been obtained. Further, to the extent any such share of Series B-10 Preferred Stock has not otherwise automatically converted into shares of Class A Common Stock, the B-10 Conversion Price for such shares shall be subject to additional resets on the terms described in the B-10 Certificate of Designation on the last date of each month.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Series B-10 Preferred Stock will, with respect to dividend rights and rights upon liquidation, dissolution or winding up of the Company, rank: (a) junior with respect to the Company’s Series A Convertible Preferred Stock, par value $0.001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Class A Common Stock, Series B-1 Resettable Convertible Preferred Stock, par value $0.001 per share, Series B-2 Resettable Convertible Preferred Stock, par value $0.001 per share, Series B-3 Resettable Convertible Preferred Stock, par value $0.001 per share, Series B-4 Resettable Convertible Preferred Stock, par value $0.001 per share, Series B-5 Resettable Convertible Preferred Stock, par value $0.001 per share, Series B-6 Resettable Convertible Preferred Stock, par value $0.001 per share, Series B-7 Resettable Convertible Preferred Stock, par value $0.001 per share, Series B-8 Resettable Convertible Preferred Stock, par value $0.001 per share and Series B-9 Resettable Convertible Preferred Stock, par value $0.001 per share; (c) senior</w:t>
      </w:r>
      <w:r>
        <w:rPr>
          <w:rFonts w:ascii="Times New Roman" w:cs="Times New Roman" w:eastAsia="Times New Roman" w:hAnsi="Times New Roman"/>
          <w:sz w:val="18"/>
          <w:szCs w:val="18"/>
          <w:i w:val="1"/>
          <w:iCs w:val="1"/>
          <w:color w:val="auto"/>
        </w:rPr>
        <w:t>, pari passu</w:t>
      </w:r>
      <w:r>
        <w:rPr>
          <w:rFonts w:ascii="Times New Roman" w:cs="Times New Roman" w:eastAsia="Times New Roman" w:hAnsi="Times New Roman"/>
          <w:sz w:val="18"/>
          <w:szCs w:val="18"/>
          <w:color w:val="auto"/>
        </w:rPr>
        <w:t xml:space="preserve"> or junior with respect to any other series of preferred stock, as set forth in the Certificate of Designation with respect to such preferred stock; and (d) junior to all existing and future indebtedness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any liquidation or dissolution of the Company, the holders of Series B-10 Preferred Stock shall be entitled to receive, pro rata with the holders of the Company’s Class A Common Stock, and any other shares of preferred stock of the Company identified as “Designated Preferred Stock,” a per share amount equal to such amount per share as would have been payable had all shares of Series B-10 Preferred Stock been converted to Class A Common Stock pursuant to Section 8 of the B-10 Certificate of Designation (without giving effect to any ownership limitations therein) immediately prior to such liquidation or dissolution of the Company (the “Liquidation Preference”). The Series B-10 Preferred Stock shall be a series of Designated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will be paid on the Series B-10 Preferred Stock on an as-converted basis when, as, and if paid on the Class A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required by law, the holders of Series B-10 Preferred Stock shall not be entitled to vote at any meeting of the stockholders for election of members of the Board of Directors of the Company or for any other purpose or otherwise to participate in any action taken by the Company or the stockholders thereof, or to receive notice of any meeting of stockholders.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B-10 Certificate of Designation does not purport to be complete and is subject to, and qualified in its entirety by, such document, which is filed as Exhibit 3.1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10, 2026, the Company issued a press release announcing the closing of the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by reference herein.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pursuant to Item 7.01 and shall not be deemed to be “filed” for the purposes of Section 18 of the Exchange Act, or otherwise subject to liabilities of that section, nor shall it be deemed incorporated by reference in any filing under the Securities Act, except as expressly set forth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 and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9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0"/>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38"/>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586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Certificate of Designation of Series B-10 Resettable Convertible Preferred Stock.</w:t>
            </w:r>
          </w:p>
        </w:tc>
        <w:tc>
          <w:tcPr>
            <w:tcW w:w="4280" w:type="dxa"/>
            <w:vAlign w:val="bottom"/>
            <w:tcBorders>
              <w:top w:val="single" w:sz="8" w:color="auto"/>
            </w:tcBorders>
          </w:tcPr>
          <w:p>
            <w:pPr>
              <w:spacing w:after="0"/>
              <w:rPr>
                <w:sz w:val="24"/>
                <w:szCs w:val="24"/>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Beneficient on April 10, 2026.</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r>
      <w:tr>
        <w:trPr>
          <w:trHeight w:val="45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set forth in this Current Report on Form 8-K are forward-looking statements within the meaning of the “safe harbor” provisions of the Private Securities Litigation Reform Act of 1995. The forward-looking statements contained in this Current Report include, without limitation, statements related to the Transaction and the issuance of Class A Common Stock upon conversion of the Series B-10 Preferred Stock. These and other forward-looking statements are based on management’s current views and assumptions and involve risks and uncertainties that could significantly affect expected results. Important factors that could cause actual results to differ materially from those expressed in the forward-looking statements include, among other things, the risks, uncertainties, and factors set forth under “Risk Factors” in the Company’s most recent Annual Report on Form 10-K and its subsequently filed Quarterly Reports on Form 10-Q. The Company assumes no obligation to update forward-looking statements to reflect actual results, subsequent events, or circumstances or other changes affecting such statements except to the extent required by applicable law.</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You Can Find 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may be deemed to be solicitation material in respect of a vote of stockholders to approve the issuance of Class A Common Stock upon conversion of the Series B-10 Preferred Stock. In connection with the requisite stockholder approval, the Company will file with the SEC a preliminary proxy statement and a definitive proxy statement, which will be sent to the stockholders of the Company, seeking such approvals related to the issuance of Class A Common Stock upon conversion of the Series B-10 Preferred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INVESTORS AND SECURITY HOLDERS OF THE COMPANY AND THEIR RESPECTIVE AFFILIATES ARE URGED TO READ, WHEN AVAILABLE, THE PROXY STATEMENT AND ANY OTHER RELEVANT DOCUMENTS FILED OR TO BE FILED WITH THE SEC IN CONNECTION WITH THE TRANSACTION DESCRIBED HEREIN, AS WELL AS ANY AMENDMENTS OR SUPPLEMENTS TO THOSE DOCUMENTS, BECAUSE THEY WILL CONTAIN IMPORTANT INFORMATION ABOUT THE COMPANY AND THE TRANSACTION. Investors and security holders will be able to obtain a free copy of the proxy statement, as well as other relevant documents filed with the SEC containing information about the Company, without charge, at the SEC’s website (http://www.sec.gov). Copies of documents filed with the SEC by the Company can also be obtained, without charge, by directing a request to Investor Relations, Beneficient at 325 North St. Paul Street, Suite 4850, Dallas, Texas 75201 or email investors@beneficient.com.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 of Proxies in Connection with Transaction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certain of its directors, executive officers and employees may be deemed to be participants in the solicitation of proxies in respect of the requisite stockholder approvals under the rules of the SEC. Information regarding the Company’s directors and executive officers is available in its Annual Report on Form 10-K, which was filed with the SEC on September 29, 2025, and certain current reports on Form 8-K filed by the Company. Other information regarding the participants in the solicitation of proxies with respect to the transaction described herein and a description of their direct and indirect interests, by security holdings or otherwise, will be contained in the proxy statement and other relevant materials to be filed with the SEC. Free copies of these documents, when available, may be obtained as described in the preceding paragraph.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an Offer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is for informational purposes only and shall not constitute, or form a part of, an offer to sell or the solicitation of an offer to sell or the solicitation of an offer to buy any securities. The securities that are the subject of the transaction described herein have not been registered under the Securities Act and may not be offered or sold in the United States absent registration or an applicable exemption from registration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BENEFICIENT</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Gregory W. Ezell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Gregory W. Ezell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912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918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0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18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0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18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0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18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Beneficient Closes $8.75 Million GP Primary Capital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DALLAS, April 10, 2026 (GLOBE NEWSWIRE) — Beneficient (NASDAQ: BENF) (“Ben” or the “Company”), a technology-enabled platform providing exit opportunities and primary capital solutions and related trust and custody services to holders of alternative assets, today announced it has closed on the financing of an $8.75 million primary capital commitment in Quartus AI Fund LP (“Fund”), a fund managed by Quartus Capital Partners LLC (“Quartus”), a New York based investment firm investing in growth stage AI and technology ventures. Quartus is led by AI pioneers, technologists, and seasoned operators (the “Transaction”).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continues the Company’s efforts to deliver primary capital to qualifying private investment funds through its GP Primary Commitment Program. In exchange for an interest in the Fund, the Fund received approximately $8.75 million in stated value of shares of the Company’s Resettable Convertible Preferred Stock (the “Preferred Stock”), which is convertible at the election of the holder into shares of the Company’s Class A common stock, subject to the terms and conditions of the Transaction documents.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closing, the Company participates in an unrealized gain of approximately $1.2 million, which represents its pro rata interest in the appreciation of the Fund’s existing asset portfolio. As a result of the Transaction, the collateral for the Company’s ExAlt loan portfolio is expected to increase by approximately $9.77 million of interests in alternative assets. Additionally, the Company believes this Transaction will result in the addition of approximately $9.77 million of tangible book value attributable to the Company’s stockholders.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partner with Quartus AI Fund LP and welcome Quartus Capital Partners LLC to our GP Primary Commitment Program,” said James Silk, Beneficient Interim CEO. “We believe Quartus is an exceptional firm at the forefront of vertical AI investing, and this transaction reflects our continued commitment to closing transactions that drive shareholder value and enhance the value of the collateral backing our ExAlt loan portfolio.”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Quartus AI Fund LP invests in growth-stage Vertical AI ventures that are solving critical, real-world problems across high-value sectors. Vertical AI ventures are strategically positioned to benefit from the trillions of dollars being invested in foundational AI infrastructure. Other investors in the Fund include endowments, foundations, RIAs, multifamily offices, and single-family offices, and the Fund currently holds nine portfolio AI investments, eight of which are US-based. Additionally, the Fund has performed in the top quartile of Cambridge Associates Benchmark Indices over the past two-plus years, and Quartus Capital Partners LLC was awarded Best Performing US Emerging Manager for 2024 by Private Equity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Beneficient’s GP Primary Commitment Program is focused on providing primary capital solutions and financing anchor commitments to general partners during their fundraising efforts while immediately deploying capital into our equity. Through the program, Beneficient seeks to help satisfy the up to $330 billion of potential demand for primary commitments to meet fundraising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reconciles these non-GAAP financial measures to the most comparable GAAP financial measures as of December 31, 2025, on an actual basis and pro forma assuming the Transaction occurred on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Pro forma –</w:t>
            </w:r>
          </w:p>
        </w:tc>
      </w:tr>
      <w:tr>
        <w:trPr>
          <w:trHeight w:val="238"/>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5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Transaction</w:t>
            </w:r>
          </w:p>
        </w:tc>
      </w:tr>
      <w:tr>
        <w:trPr>
          <w:trHeight w:val="210"/>
        </w:trPr>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Tangible Book Value</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(deficit)</w:t>
            </w:r>
          </w:p>
        </w:tc>
        <w:tc>
          <w:tcPr>
            <w:tcW w:w="1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(128,567)</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(118,797</w:t>
            </w: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18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(13,014)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w:t>
            </w:r>
          </w:p>
        </w:tc>
      </w:tr>
      <w:tr>
        <w:trPr>
          <w:trHeight w:val="22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Total temporary equity</w:t>
            </w:r>
          </w:p>
        </w:tc>
        <w:tc>
          <w:tcPr>
            <w:tcW w:w="18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90,526</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90,526</w:t>
            </w:r>
          </w:p>
        </w:tc>
      </w:tr>
      <w:tr>
        <w:trPr>
          <w:trHeight w:val="223"/>
        </w:trPr>
        <w:tc>
          <w:tcPr>
            <w:tcW w:w="7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book value</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(51,055</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right="230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Tangible book value attributable to Ben public company stockholders </w:t>
      </w:r>
      <w:r>
        <w:rPr>
          <w:rFonts w:ascii="Times New Roman" w:cs="Times New Roman" w:eastAsia="Times New Roman" w:hAnsi="Times New Roman"/>
          <w:sz w:val="18"/>
          <w:szCs w:val="18"/>
          <w:color w:val="auto"/>
        </w:rPr>
        <w:t>Tangible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right="860"/>
        <w:spacing w:after="0" w:line="276" w:lineRule="auto"/>
        <w:rPr>
          <w:sz w:val="20"/>
          <w:szCs w:val="20"/>
          <w:color w:val="auto"/>
        </w:rPr>
      </w:pPr>
      <w:r>
        <w:rPr>
          <w:rFonts w:ascii="Times New Roman" w:cs="Times New Roman" w:eastAsia="Times New Roman" w:hAnsi="Times New Roman"/>
          <w:sz w:val="18"/>
          <w:szCs w:val="18"/>
          <w:color w:val="auto"/>
        </w:rPr>
        <w:t>Less: Tangible book value attributable to Beneficient Holdings noncontrolling interest holders Tangible book value attributable to Ben’s public company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Pro forma –</w:t>
      </w:r>
    </w:p>
    <w:p>
      <w:pPr>
        <w:spacing w:after="0" w:line="31"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Actual</w:t>
      </w:r>
      <w:r>
        <w:rPr>
          <w:sz w:val="20"/>
          <w:szCs w:val="20"/>
          <w:color w:val="auto"/>
        </w:rPr>
        <w:tab/>
      </w:r>
      <w:r>
        <w:rPr>
          <w:rFonts w:ascii="Times New Roman" w:cs="Times New Roman" w:eastAsia="Times New Roman" w:hAnsi="Times New Roman"/>
          <w:sz w:val="18"/>
          <w:szCs w:val="18"/>
          <w:b w:val="1"/>
          <w:bCs w:val="1"/>
          <w:color w:val="auto"/>
        </w:rPr>
        <w:t>Transaction</w:t>
      </w:r>
    </w:p>
    <w:p>
      <w:pPr>
        <w:spacing w:after="0" w:line="220" w:lineRule="exact"/>
        <w:rPr>
          <w:sz w:val="20"/>
          <w:szCs w:val="20"/>
          <w:color w:val="auto"/>
        </w:rPr>
      </w:pPr>
    </w:p>
    <w:p>
      <w:pPr>
        <w:jc w:val="both"/>
        <w:ind w:left="440"/>
        <w:spacing w:after="0"/>
        <w:tabs>
          <w:tab w:leader="none" w:pos="2200" w:val="left"/>
        </w:tabs>
        <w:rPr>
          <w:sz w:val="20"/>
          <w:szCs w:val="20"/>
          <w:color w:val="auto"/>
        </w:rPr>
      </w:pPr>
      <w:r>
        <w:rPr>
          <w:rFonts w:ascii="Times New Roman" w:cs="Times New Roman" w:eastAsia="Times New Roman" w:hAnsi="Times New Roman"/>
          <w:sz w:val="18"/>
          <w:szCs w:val="18"/>
          <w:color w:val="auto"/>
        </w:rPr>
        <w:t>(51,055)</w:t>
      </w:r>
      <w:r>
        <w:rPr>
          <w:sz w:val="20"/>
          <w:szCs w:val="20"/>
          <w:color w:val="auto"/>
        </w:rPr>
        <w:tab/>
      </w:r>
      <w:r>
        <w:rPr>
          <w:rFonts w:ascii="Times New Roman" w:cs="Times New Roman" w:eastAsia="Times New Roman" w:hAnsi="Times New Roman"/>
          <w:sz w:val="18"/>
          <w:szCs w:val="18"/>
          <w:color w:val="auto"/>
        </w:rPr>
        <w:t>(41,285)</w:t>
      </w:r>
    </w:p>
    <w:p>
      <w:pPr>
        <w:spacing w:after="0" w:line="27" w:lineRule="exact"/>
        <w:rPr>
          <w:sz w:val="20"/>
          <w:szCs w:val="20"/>
          <w:color w:val="auto"/>
        </w:rPr>
      </w:pPr>
    </w:p>
    <w:p>
      <w:pPr>
        <w:jc w:val="right"/>
        <w:ind w:right="40"/>
        <w:spacing w:after="0"/>
        <w:tabs>
          <w:tab w:leader="none" w:pos="600" w:val="left"/>
        </w:tabs>
        <w:rPr>
          <w:sz w:val="20"/>
          <w:szCs w:val="20"/>
          <w:color w:val="auto"/>
        </w:rPr>
      </w:pPr>
      <w:r>
        <w:rPr>
          <w:rFonts w:ascii="Times New Roman" w:cs="Times New Roman" w:eastAsia="Times New Roman" w:hAnsi="Times New Roman"/>
          <w:sz w:val="18"/>
          <w:szCs w:val="18"/>
          <w:color w:val="auto"/>
        </w:rPr>
        <w:t>(51,055)</w:t>
      </w:r>
      <w:r>
        <w:rPr>
          <w:sz w:val="20"/>
          <w:szCs w:val="20"/>
          <w:color w:val="auto"/>
        </w:rPr>
        <w:tab/>
      </w:r>
      <w:r>
        <w:rPr>
          <w:rFonts w:ascii="Times New Roman" w:cs="Times New Roman" w:eastAsia="Times New Roman" w:hAnsi="Times New Roman"/>
          <w:sz w:val="18"/>
          <w:szCs w:val="18"/>
          <w:color w:val="auto"/>
        </w:rPr>
        <w:t>(51,055)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20656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 w:lineRule="exact"/>
        <w:rPr>
          <w:sz w:val="20"/>
          <w:szCs w:val="20"/>
          <w:color w:val="auto"/>
        </w:rPr>
      </w:pPr>
    </w:p>
    <w:p>
      <w:pPr>
        <w:ind w:left="940"/>
        <w:spacing w:after="0"/>
        <w:tabs>
          <w:tab w:leader="none" w:pos="2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9,770</w:t>
      </w:r>
    </w:p>
    <w:p>
      <w:pPr>
        <w:spacing w:after="0" w:line="237" w:lineRule="exact"/>
        <w:rPr>
          <w:sz w:val="20"/>
          <w:szCs w:val="20"/>
          <w:color w:val="auto"/>
        </w:rPr>
      </w:pPr>
    </w:p>
    <w:p>
      <w:pPr>
        <w:sectPr>
          <w:pgSz w:w="11900" w:h="16838" w:orient="portrait"/>
          <w:cols w:equalWidth="0" w:num="2">
            <w:col w:w="7640" w:space="720"/>
            <w:col w:w="2880"/>
          </w:cols>
          <w:pgMar w:left="320" w:top="648" w:right="339" w:bottom="1440" w:gutter="0" w:footer="0" w:header="0"/>
          <w:type w:val="continuous"/>
        </w:sectPr>
      </w:pPr>
    </w:p>
    <w:p>
      <w:pPr>
        <w:spacing w:after="0"/>
        <w:tabs>
          <w:tab w:leader="none" w:pos="7860" w:val="left"/>
          <w:tab w:leader="none" w:pos="8840" w:val="left"/>
        </w:tabs>
        <w:rPr>
          <w:sz w:val="20"/>
          <w:szCs w:val="20"/>
          <w:color w:val="auto"/>
        </w:rPr>
      </w:pPr>
      <w:r>
        <w:rPr>
          <w:rFonts w:ascii="Times New Roman" w:cs="Times New Roman" w:eastAsia="Times New Roman" w:hAnsi="Times New Roman"/>
          <w:sz w:val="18"/>
          <w:szCs w:val="18"/>
          <w:color w:val="auto"/>
        </w:rPr>
        <w:t xml:space="preserve">Market Capitalization of Ben’s Class A and Class B common stock as of April 7, 2026 </w:t>
      </w:r>
      <w:r>
        <w:rPr>
          <w:rFonts w:ascii="Times New Roman" w:cs="Times New Roman" w:eastAsia="Times New Roman" w:hAnsi="Times New Roman"/>
          <w:sz w:val="29"/>
          <w:szCs w:val="29"/>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54,508</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Based upon the closing price of the Class A common stock as reported by Nasdaq as of market close on April 7,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Beneficient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Beneficient (Nasdaq: BENF) – Ben, for short – is on a mission to democratize the global alternative asset investment market by providing traditionally underserved investors − mid-to-high net worth individuals, small-to-midsized institutions and General Partners seeking exit options, anchor commitments and preferred liquidity services for their funds− with solutions that could help them unlock the value in their alternative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Its subsidiary, Beneficient Fiduciary Financial, L.L.C., received its charter under the State of Kansas’ Technology-Enabled Fiduciary Financial Institution (TEFFI) Act and is subject to regulatory oversight by the Office of the State Bank Commissioner.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www.trustben.com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Kreps: 214-597-8200, mkreps@darrowir.com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Wetherington: 214-284-1199, mwetherington@darrowir.com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w:t>
      </w:r>
      <w:r>
        <w:rPr>
          <w:rFonts w:ascii="Times New Roman" w:cs="Times New Roman" w:eastAsia="Times New Roman" w:hAnsi="Times New Roman"/>
          <w:sz w:val="18"/>
          <w:szCs w:val="18"/>
          <w:u w:val="single" w:color="auto"/>
          <w:color w:val="auto"/>
        </w:rPr>
        <w:t>investors@beneficient.com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You Can Find 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may be deemed to be solicitation material in respect of a vote of stockholders to approve the issuance of the Company’s Class A common stock upon conversion of the Preferred Stock (the “Transaction”). In connection with the requisite stockholder approval, Ben will file with the Securities and Exchange Commission (the “SEC”) a preliminary proxy statement and a definitive proxy statement, which will be sent to the stockholders of Ben, seeking such approvals related to the Transaction.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INVESTORS AND SECURITY HOLDERS OF BEN AND THEIR RESPECTIVE AFFILIATES ARE URGED TO READ, WHEN AVAILABLE, THE PROXY STATEMENT AND ANY OTHER RELEVANT DOCUMENTS FILED OR TO BE FILED WITH THE SEC IN CONNECTION WITH THE TRANSACTION, AS WELL AS ANY AMENDMENTS OR SUPPLEMENTS TO THOSE DOCUMENTS, BECAUSE THEY WILL CONTAIN IMPORTANT INFORMATION ABOUT BEN AND THE TRANSACTION. Investors and security holders will be able to obtain a free copy of the proxy statement, as well as other relevant documents filed with the SEC containing information about Ben, without charge, at the SEC’s website (http://www.sec.gov). Copies of documents filed with the SEC by Ben can also be obtained, without charge, by directing a request to Investor Relations, Beneficient, 325 North St. Paul Street, Suite 4850, Dallas, Texas 75201, or email </w:t>
      </w:r>
      <w:r>
        <w:rPr>
          <w:rFonts w:ascii="Times New Roman" w:cs="Times New Roman" w:eastAsia="Times New Roman" w:hAnsi="Times New Roman"/>
          <w:sz w:val="18"/>
          <w:szCs w:val="18"/>
          <w:u w:val="single" w:color="auto"/>
          <w:color w:val="auto"/>
        </w:rPr>
        <w:t>investors@beneficient.com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 of Proxies in Connection with Transaction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 and certain of its directors, executive officers and employees may be deemed to be participants in the solicitation of proxies in respect of the requisite stockholder approvals under the rules of the SEC. Information regarding Ben’s directors and executive officers is available in its annual report on Form 10-K for the fiscal year ended March 31, 2025, which was filed with the SEC on September 29, 2025 and certain current reports on Form 8-K filed by Ben. Other information regarding the participants in the solicitation of proxies with respect to the Transaction and a description of their direct and indirect interests, by security holdings or otherwise, will be contained in the proxy statement and other relevant materials to be filed with the SEC. Free copies of these documents, when available, may be obtained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 an Offer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communication is for informational purposes only and shall not constitute, or form a part of, an offer to sell or the solicitation of an offer to sell or the solicitation of an offer to buy any securities. The securities that are the subject of the Transaction have not been registered under the Securities Act of 1933, as amended, and may not be offered or sold in the United States absent registration or an applicable exemption from registration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set forth in this press release are forward-looking statements within the meaning of the “safe harbor” provisions of the Private Securities Litigation Reform Act of 1995. Forward-looking statements include, but are not limited to, statements regarding the Transactions.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those expressed in the forward-looking statements include, among others: the ultimate outcome of the transactions, and the risks, uncertainties, and factors set forth under “Risk Factors” in the Company’s most recent Annual Report on Form 10-K and its subsequently filed Quarterly Reports on Form 10-Q. Forward-looking statements speak only as of the date they are made. The Company assumes no obligation to update forward-looking statements to reflect actual results, subsequent events, or circumstances or other changes affecting such statements except to the extent required by applicable law.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2026-04-10T06:43:00Z</dcterms:created>
  <dcterms:modified xsi:type="dcterms:W3CDTF">2026-04-10T06:43:00Z</dcterms:modified>
</cp:coreProperties>
</file>