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154305</wp:posOffset>
            </wp:positionV>
            <wp:extent cx="31286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8645" cy="17145"/>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53340</wp:posOffset>
            </wp:positionV>
            <wp:extent cx="31286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8645"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 June 29, 2026</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001-41715</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Beneficient</w:t>
      </w:r>
    </w:p>
    <w:p>
      <w:pPr>
        <w:sectPr>
          <w:pgSz w:w="11900" w:h="16838" w:orient="portrait"/>
          <w:cols w:equalWidth="0" w:num="1">
            <w:col w:w="11240"/>
          </w:cols>
          <w:pgMar w:left="320" w:top="1334" w:right="339" w:bottom="1440" w:gutter="0" w:footer="0" w:header="0"/>
        </w:sectPr>
      </w:pPr>
    </w:p>
    <w:p>
      <w:pPr>
        <w:spacing w:after="0" w:line="124"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1"/>
          <w:szCs w:val="21"/>
          <w:b w:val="1"/>
          <w:bCs w:val="1"/>
          <w:color w:val="auto"/>
        </w:rPr>
        <w:t>State or other jurisdiction of incorporation or organization:</w:t>
      </w:r>
    </w:p>
    <w:p>
      <w:pPr>
        <w:spacing w:after="0" w:line="46"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color w:val="auto"/>
        </w:rPr>
        <w:t>Nevada</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21"/>
          <w:szCs w:val="21"/>
          <w:b w:val="1"/>
          <w:bCs w:val="1"/>
          <w:color w:val="auto"/>
        </w:rPr>
        <w:t>IRS Employer Identification No.:</w:t>
      </w:r>
    </w:p>
    <w:p>
      <w:pPr>
        <w:spacing w:after="0" w:line="4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72-1573705</w:t>
      </w:r>
    </w:p>
    <w:p>
      <w:pPr>
        <w:spacing w:after="0" w:line="200" w:lineRule="exact"/>
        <w:rPr>
          <w:sz w:val="24"/>
          <w:szCs w:val="24"/>
          <w:color w:val="auto"/>
        </w:rPr>
      </w:pPr>
    </w:p>
    <w:p>
      <w:pPr>
        <w:sectPr>
          <w:pgSz w:w="11900" w:h="16838" w:orient="portrait"/>
          <w:cols w:equalWidth="0" w:num="2">
            <w:col w:w="7020" w:space="720"/>
            <w:col w:w="3500"/>
          </w:cols>
          <w:pgMar w:left="320" w:top="1334" w:right="339" w:bottom="1440" w:gutter="0" w:footer="0" w:header="0"/>
          <w:type w:val="continuous"/>
        </w:sectPr>
      </w:pP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325 North St. Paul Street, Suite 4850 Dallas, Texas 75201</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Registrant’s telephone number, including area code: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(214) 445-4700</w:t>
      </w:r>
    </w:p>
    <w:p>
      <w:pPr>
        <w:spacing w:after="0" w:line="203" w:lineRule="exact"/>
        <w:rPr>
          <w:sz w:val="24"/>
          <w:szCs w:val="24"/>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57"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6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6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30"/>
        </w:trPr>
        <w:tc>
          <w:tcPr>
            <w:tcW w:w="6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Shares of Class A common stock, par value $0.001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BENF</w:t>
            </w:r>
          </w:p>
        </w:tc>
        <w:tc>
          <w:tcPr>
            <w:tcW w:w="24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64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 Class A common stock,</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2"/>
        </w:trPr>
        <w:tc>
          <w:tcPr>
            <w:tcW w:w="64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color w:val="auto"/>
                <w:w w:val="99"/>
              </w:rPr>
              <w:t>par value $0.001 per share, and one share of Series A convertible preferred stock, par</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34"/>
        </w:trPr>
        <w:tc>
          <w:tcPr>
            <w:tcW w:w="6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value $0.001 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BENFW</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4"/>
        </w:trPr>
        <w:tc>
          <w:tcPr>
            <w:tcW w:w="6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bl>
    <w:p>
      <w:pPr>
        <w:spacing w:after="0" w:line="184"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ind w:left="660"/>
        <w:spacing w:after="0" w:line="207" w:lineRule="exact"/>
        <w:tabs>
          <w:tab w:leader="none" w:pos="2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29, 2026, Beneficient, a Nevada corporation (the “Company”), issued a press release announcing its financial results for the fourth quarter and year ended March 31, 2026. A copy of the press release is furnished as Exhibit 99.1 and is incorporated by reference herein.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Item 2.02 (including Exhibit 99.1 hereto) shall not be deemed to be “filed” for the purposes of Section 18 of the Securities Exchange Act of 1934, as amended (the “Exchange Act”), and shall not be deemed to be incorporated by reference into any filing under the Securities Act of 1933, as amended (the “Securities Act”), or the Exchange Act, except as shall be expressly set forth by specific reference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29, 2026, the Company issued a press release including a letter to shareholders. A copy of the press release is furnished as Exhibit 99.2 and is incorporated by reference herein.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Item 7.01 (including Exhibit 99.2 hereto) shall not be deemed to be “filed” for the purposes of Section 18 of the Exchange Act, and shall not be deemed to be incorporated by reference into any filing under the Securities Act, or the Exchange Act, except as shall be expressly set forth by specific reference in such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121"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Beneficient issued June 29, 2026</w:t>
      </w:r>
      <w:r>
        <w:rPr>
          <w:rFonts w:ascii="Times New Roman" w:cs="Times New Roman" w:eastAsia="Times New Roman" w:hAnsi="Times New Roman"/>
          <w:sz w:val="17"/>
          <w:szCs w:val="17"/>
          <w:color w:val="000000"/>
        </w:rPr>
        <w:t>.</w:t>
      </w:r>
    </w:p>
    <w:p>
      <w:pPr>
        <w:spacing w:after="0" w:line="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Press Release of Beneficient issued June 29, 2026</w:t>
      </w:r>
      <w:r>
        <w:rPr>
          <w:rFonts w:ascii="Times New Roman" w:cs="Times New Roman" w:eastAsia="Times New Roman" w:hAnsi="Times New Roman"/>
          <w:sz w:val="17"/>
          <w:szCs w:val="17"/>
          <w:color w:val="000000"/>
        </w:rPr>
        <w:t>.</w:t>
      </w:r>
    </w:p>
    <w:p>
      <w:pPr>
        <w:spacing w:after="0" w:line="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324" w:lineRule="exact"/>
        <w:rPr>
          <w:sz w:val="20"/>
          <w:szCs w:val="20"/>
          <w:color w:val="auto"/>
        </w:rPr>
      </w:pPr>
    </w:p>
    <w:p>
      <w:pPr>
        <w:ind w:left="20"/>
        <w:spacing w:after="0"/>
        <w:tabs>
          <w:tab w:leader="none" w:pos="820" w:val="left"/>
          <w:tab w:leader="none" w:pos="5080" w:val="left"/>
          <w:tab w:leader="none" w:pos="5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W. Ezell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34290</wp:posOffset>
            </wp:positionV>
            <wp:extent cx="3514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W. Ezell</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927"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22960" cy="248920"/>
                    </a:xfrm>
                    <a:prstGeom prst="rect">
                      <a:avLst/>
                    </a:prstGeom>
                    <a:noFill/>
                  </pic:spPr>
                </pic:pic>
              </a:graphicData>
            </a:graphic>
          </wp:anchor>
        </w:drawing>
        <w:drawing>
          <wp:anchor simplePos="0" relativeHeight="251657728" behindDoc="1" locked="0" layoutInCell="0" allowOverlap="1">
            <wp:simplePos x="0" y="0"/>
            <wp:positionH relativeFrom="page">
              <wp:posOffset>1562735</wp:posOffset>
            </wp:positionH>
            <wp:positionV relativeFrom="page">
              <wp:posOffset>397510</wp:posOffset>
            </wp:positionV>
            <wp:extent cx="5777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777865" cy="8255"/>
                    </a:xfrm>
                    <a:prstGeom prst="rect">
                      <a:avLst/>
                    </a:prstGeom>
                    <a:noFill/>
                  </pic:spPr>
                </pic:pic>
              </a:graphicData>
            </a:graphic>
          </wp:anchor>
        </w:drawing>
        <w:t>For Immediate Release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88"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BENEFICIENT REPORTS FOURTH QUARTER &amp; FISCAL YEAR ENDED MARCH 31, 2026 RESULTS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Transformative Fiscal 2026 Focused on Addressing Legacy Issues While Strengthening Foundation of the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Beneficient Clears Litigation Hurdles as it Positions to Capitalize on New Opportunities for Growth</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Dallas, TX. – </w:t>
      </w:r>
      <w:r>
        <w:rPr>
          <w:rFonts w:ascii="Times New Roman" w:cs="Times New Roman" w:eastAsia="Times New Roman" w:hAnsi="Times New Roman"/>
          <w:sz w:val="18"/>
          <w:szCs w:val="18"/>
          <w:color w:val="auto"/>
        </w:rPr>
        <w:t>June 29, 2026</w:t>
      </w:r>
      <w:r>
        <w:rPr>
          <w:rFonts w:ascii="Times New Roman" w:cs="Times New Roman" w:eastAsia="Times New Roman" w:hAnsi="Times New Roman"/>
          <w:sz w:val="18"/>
          <w:szCs w:val="18"/>
          <w:b w:val="1"/>
          <w:bCs w:val="1"/>
          <w:color w:val="auto"/>
        </w:rPr>
        <w:t xml:space="preserve"> (GlobeNewswire)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Beneficient (NASDAQ: BENF) (“Ben” or the “Company”)</w:t>
      </w:r>
      <w:r>
        <w:rPr>
          <w:rFonts w:ascii="Times New Roman" w:cs="Times New Roman" w:eastAsia="Times New Roman" w:hAnsi="Times New Roman"/>
          <w:sz w:val="18"/>
          <w:szCs w:val="18"/>
          <w:color w:val="auto"/>
        </w:rPr>
        <w:t>, a technology-enabled platform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exit opportunities and primary capital solutions and related trust and custody services to holders of alternative assets, today reported its financial results for the fiscal 2026 fourth quarter and fiscal year, which ended March 31, 2026.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the year include:</w:t>
      </w:r>
    </w:p>
    <w:p>
      <w:pPr>
        <w:spacing w:after="0" w:line="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Resolved GWG Holdings, Inc. litigation and regained Nasdaq compliance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Generated over $50 million in gross proceeds from asset sales</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Fully paid off HH-BDH Credit Agreement principal balance (excluding $1.1 million for deferred interest and fees)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Executed over $23 million in new fiduciary financings, including those closed subsequent to year end</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initial collateral management services relationship</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Commenting on the fiscal 2026 results, Chief Executive Officer James Silk said: “Fiscal 2026 was a year of significant progress for Beneficient. We took important steps to address legacy challenges, improve our financial position and sharpen our focus on the business opportunities ahead. With the completion of our leadership transition and continued growth in new business and progress on litigation matters, we believe Beneficient is better positioned to execute on our strategy.”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focus now is on building the business by expanding our Primary Commitment Program, growing our collateral management services, and commercializing our AI-technology to support new opportunities. We believe the foundation we have built allows us to pursue a broader set of opportunities and create long-term value for our stakeholders.”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Fourth Quarter Fiscal 2026 and Recent Highlights (for the quarter ended March 31, 2026 or as noted):</w:t>
      </w:r>
    </w:p>
    <w:p>
      <w:pPr>
        <w:spacing w:after="0" w:line="121" w:lineRule="exact"/>
        <w:rPr>
          <w:sz w:val="20"/>
          <w:szCs w:val="20"/>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investments with a fair value of $195.5 million, from $291.4 million at the end of our prior fiscal year, which served as collateral for Ben Liquidity's net loan portfolio of $169.7 million and $244.1 million, at March 31, 2026 and 2025, respectively.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March 31, 2026, entered into an additional primary capital transaction with a fund managed by a general partner, which will increase the collateral for the Company’s ExAlt loan portfolio by approximately $8.8 million.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increased 22% to $17.5 million in the fourth quarter of fiscal 2026, as compared to $14.3 million of operating expenses in the fourth quarter of fiscal 2025. The current year quarter included non-cash intangible asset impairment of $3.1 million while there was not a similar charge in the prior year quarter. For fiscal year 2026, operating expenses were $127.4 million, which includes the accrual of a loss contingency of $62.8 million, additional interest expense on the loss contingency of $5.1 million, and non-cash intangible asset impairment of $3.1 million. For fiscal year 2025, operating expenses were $16.2 million, which includes the release of a loss contingency accrual of $55.0 million and non-cash goodwill impairment of $3.7 million.</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2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non-cash goodwill impairment and the loss contingency accrual in each period, as applicable, adjusted 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declined 11% in the fourth quarter of fiscal 2026 to $12.7 million, as compared to $14.3 million in the same period of fiscal 2025. For fiscal year 2026, excluding the non-cash goodwill impairment and the loss contingency accrual (release) in each period, adjusted 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declined 16% to $56.4 million, as compared to $67.5 million for fiscal year 2025.</w:t>
      </w:r>
    </w:p>
    <w:p>
      <w:pPr>
        <w:spacing w:after="0" w:line="3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completed asset sales or equity redemptions of certain investments held by the Customer ExAlt Trusts, resulting in an aggregate of $51.5 million in gross proceeds through March 31, 2026, which was used to pay down certain debt and provide working capital.</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named James Silk as CEO of Beneficient on June 24, 2026, removing the Interim CEO title that he has held since July 21, 2025.</w:t>
      </w:r>
    </w:p>
    <w:p>
      <w:pPr>
        <w:sectPr>
          <w:pgSz w:w="11900" w:h="16838" w:orient="portrait"/>
          <w:cols w:equalWidth="0" w:num="1">
            <w:col w:w="11240"/>
          </w:cols>
          <w:pgMar w:left="320" w:top="752" w:right="339" w:bottom="1440" w:gutter="0" w:footer="0" w:header="0"/>
        </w:sectPr>
      </w:pPr>
    </w:p>
    <w:bookmarkStart w:id="4" w:name="page5"/>
    <w:bookmarkEnd w:id="4"/>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on June 25, 2026 that one of its subsidiaries has entered into its first engagement to provide collateral management services for a Texas state-chartered bank in connection with a secured lending transaction. The engagement is expected to generate recurring fee revenue for the Company for the duration of the engagement and represents the first commercial deployment of Beneficient’s collateral management services offering.</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this press release and in the place of an earnings report webcast, a letter to shareholders from CEO James Silk has been issued about the Fiscal Year and the Company’s strategic direction.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executing on our business plan of providing financing for liquidity, or early investment exits, for alternative asset marketplace participants, Ben’s balance sheet is primarily comprised of loans collateralized by a well-diversified alternative asset portfolio that is expected to grow as Ben successfully executes on its core business.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Ben’s balance sheet strategy for ExAlt Loan origination is built on an endowment-style portfolio model for the fiduciary financings we make by utilizing our patent-pending computer implemented technologies branded as OptimumAlt. Our OptimumAlt endowment model balance sheet approach guides diversification of our fiduciary financings across seven asset classes of alternative assets, over 11 industry sectors in which alternative asset managers invest, and at least six countrywide exposures and multiple vintages of dates of investment into the private funds and companies.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Ben’s loan portfolio was supported by a highly diversified alternative asset collateral portfolio providing diversification across approximately 140 private market funds and approximately 400 investments across various asset classes, industry sectors and geographies. This portfolio includes exposure to some of the most exciting, sought after private company names worldwide, including:</w:t>
      </w:r>
    </w:p>
    <w:p>
      <w:pPr>
        <w:spacing w:after="0" w:line="1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leading Latin American pharmacy, health, and beauty retailer with an integrated physical and digital store network.</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technology-enabled reforestation company using drones, seed science, and services to restore forests at scale following wildfires and other disturbances.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mobile banking services provider.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privately owned express intercity passenger rail system operator and owner of associated real estate.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developer of an integrated e-commerce and fulfillment platform to sell wine direct-to-consumers.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Figure 1: Portfolio Diversification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Diversification Using Principal Loan Balance, Net of Allowance for Credit Losses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charts below present the ExAlt Loan portfolio’s relative exposure by certain characteristics (percentages determined by aggregate fiduciary ExAlt Loan portfolio principal balance net of allowance for credit losses, which includes the exposure to interests in certain of our former affiliates composing part of the Fiduciary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5760720" cy="1337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As of March 31, 2026. The chart represents the characteristics of professionally managed funds and investments in the Collateral portfolio, which is comprised of a diverse portfolio of direct and indirect interests (through various investment vehicles, including, limited partnership interests and private and public equity and debt securities, which include our and our affiliates’ or our former affiliates’ securities), primarily in third-party, professionally managed private funds and investments. Loan balances used to calculate the percentages reported in the pie charts are loan balances net of any allowance for credit losses, and as of March 31, 2026, the total allowance for credit losses was $414.4 million, for a total gross loan balance of $584.0 million and a loan balance net of allowance for credit losses of $169.7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 Fourth Quarter Fiscal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 Liquidity</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Ben Liquidity offers simple, rapid and cost-effective liquidity products through the use of our proprietary financing and trust structure, or the “Customer ExAlt Trusts,” which facilitate the exchange of a customer’s alternative assets for consideration.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228" w:right="339" w:bottom="1440" w:gutter="0" w:footer="0" w:header="0"/>
        </w:sectPr>
      </w:pPr>
    </w:p>
    <w:bookmarkStart w:id="5" w:name="page6"/>
    <w:bookmarkEnd w:id="5"/>
    <w:p>
      <w:pPr>
        <w:jc w:val="both"/>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Liquidity recognized $7.9 million of interest income for the fiscal fourth quarter, down 3.5% from the quarter ended December 31, 2025, primarily due to a higher percentage of loans being placed on nonaccrual status and loan repayments primarily through asset sales proceeds, partially offset by the effects of compounding interest on the remaining loans.</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Operating loss for the fiscal fourth quarter was $19.7 million, a decline from an operating loss of $29.2 million for the quarter ended December 31, 2025. The improvement was due to lower intersegment credit losses and interest expense due to the prepayment of the outstanding principal under the HH-BDH Credit Agreement in the current fiscal period as compared to the quarter ended December 31, 2025 offset by the decline in revenues discussed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 Custody</w:t>
      </w:r>
    </w:p>
    <w:p>
      <w:pPr>
        <w:spacing w:after="0" w:line="12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Ben Custody provides full-service trust and custody administration services to the trustees of certain of the Customer ExAlt Trusts, which own the exchanged alternative assets following liquidity transactions in exchange for fees payable quarterly calculated as a percentage of assets in custody.</w:t>
      </w:r>
    </w:p>
    <w:p>
      <w:pPr>
        <w:spacing w:after="0" w:line="3" w:lineRule="exact"/>
        <w:rPr>
          <w:sz w:val="20"/>
          <w:szCs w:val="20"/>
          <w:color w:val="auto"/>
        </w:rPr>
      </w:pPr>
    </w:p>
    <w:p>
      <w:pPr>
        <w:jc w:val="both"/>
        <w:ind w:left="340" w:hanging="332"/>
        <w:spacing w:after="0" w:line="258" w:lineRule="auto"/>
        <w:tabs>
          <w:tab w:leader="none" w:pos="3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NAV of alternative assets and other securities held in custody by Ben Custody during the fiscal fourth quarter was $219.8 million as of March 31, 2026, compared to $338.2 million as of March 31, 2025. The decrease was driven by dispositions of certain alternative assets, distributions and unrealized losses on existing assets, principally related to adjustments to the relative share held in custody of the respective fund’s NAV based on updated financial information received from the funds’ investment manager or sponsor during the period or the fair value for investments deemed probable to be sold at an amount that differs from NAV, offset by $14.8 million of new originations.</w:t>
      </w:r>
    </w:p>
    <w:p>
      <w:pPr>
        <w:spacing w:after="0" w:line="21" w:lineRule="exact"/>
        <w:rPr>
          <w:rFonts w:ascii="Times New Roman" w:cs="Times New Roman" w:eastAsia="Times New Roman" w:hAnsi="Times New Roman"/>
          <w:sz w:val="18"/>
          <w:szCs w:val="18"/>
          <w:i w:val="1"/>
          <w:iCs w:val="1"/>
          <w:color w:val="auto"/>
        </w:rPr>
      </w:pPr>
    </w:p>
    <w:p>
      <w:pPr>
        <w:jc w:val="both"/>
        <w:ind w:left="340" w:hanging="332"/>
        <w:spacing w:after="0" w:line="266" w:lineRule="auto"/>
        <w:tabs>
          <w:tab w:leader="none" w:pos="3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Revenues applicable to Ben Custody were $2.5 million for the fourth fiscal quarter, compared to $2.9 million for the quarter ended December 31, 2025. The decline in revenues is a result of a lower amount of NAV of alternative assets and other securities held in custody at the beginning of each applicable period, when such fees are calculated.</w:t>
      </w:r>
    </w:p>
    <w:p>
      <w:pPr>
        <w:spacing w:after="0" w:line="13" w:lineRule="exact"/>
        <w:rPr>
          <w:rFonts w:ascii="Times New Roman" w:cs="Times New Roman" w:eastAsia="Times New Roman" w:hAnsi="Times New Roman"/>
          <w:sz w:val="18"/>
          <w:szCs w:val="18"/>
          <w:i w:val="1"/>
          <w:iCs w:val="1"/>
          <w:color w:val="auto"/>
        </w:rPr>
      </w:pPr>
    </w:p>
    <w:p>
      <w:pPr>
        <w:jc w:val="both"/>
        <w:ind w:left="340" w:hanging="332"/>
        <w:spacing w:after="0" w:line="266" w:lineRule="auto"/>
        <w:tabs>
          <w:tab w:leader="none" w:pos="3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Operating income for the fourth fiscal quarter was $0.5 million, compared to an operating income of $2.0 million for the quarter ended December 31, 2025. The decrease was primarily due to $1.0 million higher provision for credit loss in the current period and coupled with the decline in revenues as discussed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 Year Ended Fiscal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 Liquidity</w:t>
      </w:r>
    </w:p>
    <w:p>
      <w:pPr>
        <w:spacing w:after="0" w:line="121" w:lineRule="exact"/>
        <w:rPr>
          <w:sz w:val="20"/>
          <w:szCs w:val="20"/>
          <w:color w:val="auto"/>
        </w:rPr>
      </w:pPr>
    </w:p>
    <w:p>
      <w:pPr>
        <w:jc w:val="both"/>
        <w:ind w:left="340" w:hanging="332"/>
        <w:spacing w:after="0" w:line="266" w:lineRule="auto"/>
        <w:tabs>
          <w:tab w:leader="none" w:pos="33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Ben Liquidity recognized $33.4 million of interest income for the year ended March 31, 2026, down 21.5% compared to the same period in 2025, primarily driven by lower loans, net of the allowance for credit losses, resulting from higher levels of non-accrual loans and loan prepayments, partially offset by new loans originated.</w:t>
      </w:r>
    </w:p>
    <w:p>
      <w:pPr>
        <w:spacing w:after="0" w:line="13" w:lineRule="exact"/>
        <w:rPr>
          <w:rFonts w:ascii="Times New Roman" w:cs="Times New Roman" w:eastAsia="Times New Roman" w:hAnsi="Times New Roman"/>
          <w:sz w:val="18"/>
          <w:szCs w:val="18"/>
          <w:i w:val="1"/>
          <w:iCs w:val="1"/>
          <w:color w:val="auto"/>
        </w:rPr>
      </w:pPr>
    </w:p>
    <w:p>
      <w:pPr>
        <w:jc w:val="both"/>
        <w:ind w:left="340" w:hanging="332"/>
        <w:spacing w:after="0" w:line="266" w:lineRule="auto"/>
        <w:tabs>
          <w:tab w:leader="none" w:pos="33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Operating loss was $55.7 million for the year ended March 31, 2026 as compared to an operating loss of $12.8 million in the same period in 2025. The increase in the operating loss was partially a result of the lower revenues period over period plus an increase in intersegment credit losses in the current fiscal year as compared to the same period in the prior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 Custody</w:t>
      </w:r>
    </w:p>
    <w:p>
      <w:pPr>
        <w:spacing w:after="0" w:line="121" w:lineRule="exact"/>
        <w:rPr>
          <w:sz w:val="20"/>
          <w:szCs w:val="20"/>
          <w:color w:val="auto"/>
        </w:rPr>
      </w:pPr>
    </w:p>
    <w:p>
      <w:pPr>
        <w:jc w:val="both"/>
        <w:ind w:left="340" w:hanging="332"/>
        <w:spacing w:after="0" w:line="266" w:lineRule="auto"/>
        <w:tabs>
          <w:tab w:leader="none" w:pos="33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Ben Custody revenues were $12.7 million for the year ended March 31, 2026, down 40.9% compared to the prior year period, largely the result of lower NAV of alternative assets and other securities held in custody along with certain upfront intersegment fees that are amortized into revenues over time being fully recognized in a prior period.</w:t>
      </w:r>
    </w:p>
    <w:p>
      <w:pPr>
        <w:spacing w:after="0" w:line="13"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3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Operating income was $8.0 million for the year ended March 31, 2026 compared to operating income of $13.3 million in the same period in 2025, with the decrease in operating income a result of the decline in revenues in the current year discussed above offset partially by lower expenses in the current fiscal year due primarily to the prior fiscal year reflecting non-cash goodwill impairment of $3.4 million as compared to no such non-cash goodwill impairment in the current fiscal year.</w:t>
      </w:r>
    </w:p>
    <w:p>
      <w:pPr>
        <w:spacing w:after="0" w:line="14" w:lineRule="exact"/>
        <w:rPr>
          <w:rFonts w:ascii="Times New Roman" w:cs="Times New Roman" w:eastAsia="Times New Roman" w:hAnsi="Times New Roman"/>
          <w:sz w:val="18"/>
          <w:szCs w:val="18"/>
          <w:i w:val="1"/>
          <w:iCs w:val="1"/>
          <w:color w:val="auto"/>
        </w:rPr>
      </w:pPr>
    </w:p>
    <w:p>
      <w:pPr>
        <w:jc w:val="both"/>
        <w:ind w:left="340" w:hanging="332"/>
        <w:spacing w:after="0" w:line="218" w:lineRule="auto"/>
        <w:tabs>
          <w:tab w:leader="none" w:pos="33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for the year ended March 31, 2026 was $8.0 million, compared to adjusted operating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$18.5 million in the same period in 2025, with the decrease in adjusted operating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primarily due to lower revenue related to lower NAV of alternative assets and other securities held in custody and higher operating expenses during the current fiscal year.</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and Liquidity</w:t>
      </w:r>
    </w:p>
    <w:p>
      <w:pPr>
        <w:spacing w:after="0" w:line="12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of March 31, 2026, the Company had cash and cash equivalents of $2.5 million and debt of $96.8 million.</w:t>
      </w:r>
    </w:p>
    <w:p>
      <w:pPr>
        <w:spacing w:after="0" w:line="117" w:lineRule="exact"/>
        <w:rPr>
          <w:rFonts w:ascii="Times New Roman" w:cs="Times New Roman" w:eastAsia="Times New Roman" w:hAnsi="Times New Roman"/>
          <w:sz w:val="18"/>
          <w:szCs w:val="18"/>
          <w:i w:val="1"/>
          <w:iCs w:val="1"/>
          <w:color w:val="auto"/>
        </w:rPr>
      </w:pPr>
    </w:p>
    <w:p>
      <w:pPr>
        <w:jc w:val="both"/>
        <w:ind w:left="340" w:right="40" w:hanging="332"/>
        <w:spacing w:after="0" w:line="266" w:lineRule="auto"/>
        <w:tabs>
          <w:tab w:leader="none" w:pos="33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Distributions received from alternative assets and other securities held in custody totaled $12.1 million for the year ended March 31, 2026 compared to $30.4 million for the prior year period. Additionally, during year ended March 31, 2026, we received proceeds of $51.5 million from the disposition of certain investments in alternative assets.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228" w:right="339" w:bottom="1440" w:gutter="0" w:footer="0" w:header="0"/>
        </w:sectPr>
      </w:pPr>
    </w:p>
    <w:bookmarkStart w:id="6" w:name="page7"/>
    <w:bookmarkEnd w:id="6"/>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investments (at fair value) of $195.5 million at March 31, 2026 supported Ben Liquidity's loan portfolio.</w:t>
      </w:r>
    </w:p>
    <w:p>
      <w:pPr>
        <w:spacing w:after="0" w:line="11" w:lineRule="exact"/>
        <w:rPr>
          <w:sz w:val="20"/>
          <w:szCs w:val="20"/>
          <w:color w:val="auto"/>
        </w:rPr>
      </w:pPr>
    </w:p>
    <w:p>
      <w:pPr>
        <w:ind w:left="180" w:right="20" w:hanging="172"/>
        <w:spacing w:after="0" w:line="217" w:lineRule="auto"/>
        <w:tabs>
          <w:tab w:leader="none" w:pos="16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 non-GAAP financial measure. For reconciliations of our non-GAAP measures to the most directly comparable GAAP financial measures and for the reasons we believe the non-GAAP measures provide useful information, see Non-GAAP Reconciliations.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Fiscal Fourth Quarter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1 </w:t>
      </w:r>
      <w:r>
        <w:rPr>
          <w:rFonts w:ascii="Times New Roman" w:cs="Times New Roman" w:eastAsia="Times New Roman" w:hAnsi="Times New Roman"/>
          <w:sz w:val="18"/>
          <w:szCs w:val="18"/>
          <w:color w:val="auto"/>
        </w:rPr>
        <w:t>below presents a summary of selected unaudited consolidated operating financial information.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Fiscal Fourth Quarter Results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Fiscal 3Q26</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 except share and per share</w:t>
            </w:r>
          </w:p>
        </w:tc>
        <w:tc>
          <w:tcPr>
            <w:tcW w:w="14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Fiscal 4Q26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4Q25</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 % vs.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2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Change % vs.</w:t>
            </w:r>
          </w:p>
        </w:tc>
      </w:tr>
      <w:tr>
        <w:trPr>
          <w:trHeight w:val="21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Prior Quarter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Prior YTD</w:t>
            </w:r>
          </w:p>
        </w:tc>
      </w:tr>
      <w:tr>
        <w:trPr>
          <w:trHeight w:val="33"/>
        </w:trPr>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Revenues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(30,969)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5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Revenues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(25,393)</w:t>
            </w:r>
          </w:p>
        </w:tc>
        <w:tc>
          <w:tcPr>
            <w:tcW w:w="140" w:type="dxa"/>
            <w:vAlign w:val="bottom"/>
          </w:tcPr>
          <w:p>
            <w:pPr>
              <w:spacing w:after="0"/>
              <w:rPr>
                <w:sz w:val="22"/>
                <w:szCs w:val="22"/>
                <w:color w:val="auto"/>
              </w:rPr>
            </w:pPr>
          </w:p>
        </w:tc>
        <w:tc>
          <w:tcPr>
            <w:tcW w:w="104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(30,963)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(48,616)</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37"/>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(45,295)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(166,512)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56"/>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 (Loss)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(36,764)</w:t>
            </w:r>
          </w:p>
        </w:tc>
        <w:tc>
          <w:tcPr>
            <w:tcW w:w="140" w:type="dxa"/>
            <w:vAlign w:val="bottom"/>
          </w:tcPr>
          <w:p>
            <w:pPr>
              <w:spacing w:after="0"/>
              <w:rPr>
                <w:sz w:val="22"/>
                <w:szCs w:val="22"/>
                <w:color w:val="auto"/>
              </w:rPr>
            </w:pPr>
          </w:p>
        </w:tc>
        <w:tc>
          <w:tcPr>
            <w:tcW w:w="104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(42,945)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(94,025)</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5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Class A EPS</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5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Class A EPS</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 attributable to Ben's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Holders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55,084</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14,253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63,735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Segment Revenues attributable to Ben's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Equity Holders </w:t>
            </w:r>
            <w:r>
              <w:rPr>
                <w:rFonts w:ascii="Times New Roman" w:cs="Times New Roman" w:eastAsia="Times New Roman" w:hAnsi="Times New Roman"/>
                <w:sz w:val="21"/>
                <w:szCs w:val="21"/>
                <w:color w:val="auto"/>
                <w:vertAlign w:val="superscript"/>
              </w:rPr>
              <w:t>(1)(2)</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140" w:type="dxa"/>
            <w:vAlign w:val="bottom"/>
          </w:tcPr>
          <w:p>
            <w:pPr>
              <w:spacing w:after="0"/>
              <w:rPr>
                <w:sz w:val="21"/>
                <w:szCs w:val="21"/>
                <w:color w:val="auto"/>
              </w:rPr>
            </w:pPr>
          </w:p>
        </w:tc>
        <w:tc>
          <w:tcPr>
            <w:tcW w:w="104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14,253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46,124</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63,742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 attributable to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Ben's Equity Holders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(65,009)</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8,656</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(16,662)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(140,873)</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10,729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Segment Operating Income (Loss)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1"/>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attributable to Ben's Equity Holders</w:t>
            </w:r>
            <w:r>
              <w:rPr>
                <w:rFonts w:ascii="Times New Roman" w:cs="Times New Roman" w:eastAsia="Times New Roman" w:hAnsi="Times New Roman"/>
                <w:sz w:val="21"/>
                <w:szCs w:val="21"/>
                <w:color w:val="auto"/>
                <w:vertAlign w:val="superscript"/>
              </w:rPr>
              <w:t>(1)(2)</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(32,052)</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(13,851)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69" w:lineRule="exact"/>
        <w:rPr>
          <w:sz w:val="20"/>
          <w:szCs w:val="20"/>
          <w:color w:val="auto"/>
        </w:rPr>
      </w:pPr>
    </w:p>
    <w:p>
      <w:pPr>
        <w:jc w:val="both"/>
        <w:ind w:left="180" w:hanging="172"/>
        <w:spacing w:after="0" w:line="238" w:lineRule="auto"/>
        <w:tabs>
          <w:tab w:leader="none" w:pos="15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Adjusted Revenues, Adjusted Operating Income (Loss), Adjusted Segment Revenues attributable to Ben's Equity Holders and Adjusted Segment Operating Income (Loss) attributable to Ben's Equity Holders are non-GAAP financial measures. For reconciliations of our non-GAAP measures to the most directly comparable GAAP financial measures and for the reasons we believe the non-GAAP measures provide useful information, see Non-GAAP Reconciliations.</w:t>
      </w:r>
    </w:p>
    <w:p>
      <w:pPr>
        <w:spacing w:after="0" w:line="1" w:lineRule="exact"/>
        <w:rPr>
          <w:rFonts w:ascii="Times New Roman" w:cs="Times New Roman" w:eastAsia="Times New Roman" w:hAnsi="Times New Roman"/>
          <w:sz w:val="18"/>
          <w:szCs w:val="18"/>
          <w:color w:val="auto"/>
          <w:vertAlign w:val="superscript"/>
        </w:rPr>
      </w:pPr>
    </w:p>
    <w:p>
      <w:pPr>
        <w:jc w:val="both"/>
        <w:ind w:left="180" w:hanging="172"/>
        <w:spacing w:after="0" w:line="243" w:lineRule="auto"/>
        <w:tabs>
          <w:tab w:leader="none" w:pos="164"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Segment financial information attributable to Ben’s equity holders is presented to provide users of our financial information an understanding and visual aide of the segment information (revenues, operating income (loss), and adjusted operating income (loss)) that impacts Ben’s Equity Holders. Ben’s Equity Holders refers to the holders of Beneficient Class A and Class B common stock and Series B Preferred Stock as well as holders of interests in BCH which represent noncontrolling interests. For a description of noncontrolling interests, see Item 7 of our Annual Report on Form 10-K for the year ended March 31, 2026, and Reconciliation of Business Segment Information Attributable to Ben’s Equity Holders to Net Income (Loss) Attributable to Ben Common Holders. Such information is computed as the sum of the Ben Liquidity, Ben Custody and Corp/Other segments since it is the operating results of those segments that determine the net income (loss) attributable to Ben’s Equity Holders. See further information in table 5 and Non-GAAP Reconciliations.</w:t>
      </w:r>
    </w:p>
    <w:p>
      <w:pPr>
        <w:spacing w:after="0" w:line="4" w:lineRule="exact"/>
        <w:rPr>
          <w:rFonts w:ascii="Times New Roman" w:cs="Times New Roman" w:eastAsia="Times New Roman" w:hAnsi="Times New Roman"/>
          <w:sz w:val="19"/>
          <w:szCs w:val="19"/>
          <w:color w:val="auto"/>
          <w:vertAlign w:val="superscript"/>
        </w:rPr>
      </w:pPr>
    </w:p>
    <w:p>
      <w:pPr>
        <w:ind w:left="140" w:hanging="126"/>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Periods presented have been adjusted to reflect the 1-for-8 reverse stock split on December 15,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2 </w:t>
      </w:r>
      <w:r>
        <w:rPr>
          <w:rFonts w:ascii="Times New Roman" w:cs="Times New Roman" w:eastAsia="Times New Roman" w:hAnsi="Times New Roman"/>
          <w:sz w:val="18"/>
          <w:szCs w:val="18"/>
          <w:color w:val="auto"/>
        </w:rPr>
        <w:t>below presents a summary of selected unaudited consolidated balance sheet information.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Fiscal 4Q26</w:t>
            </w:r>
          </w:p>
        </w:tc>
        <w:tc>
          <w:tcPr>
            <w:tcW w:w="16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Fiscal 4Q25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Fiscal Fourth Quarter Results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6"/>
              </w:rPr>
              <w:t>As of</w:t>
            </w:r>
          </w:p>
        </w:tc>
        <w:tc>
          <w:tcPr>
            <w:tcW w:w="160" w:type="dxa"/>
            <w:vAlign w:val="bottom"/>
          </w:tcPr>
          <w:p>
            <w:pPr>
              <w:spacing w:after="0"/>
              <w:rPr>
                <w:sz w:val="17"/>
                <w:szCs w:val="17"/>
                <w:color w:val="auto"/>
              </w:rPr>
            </w:pP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As of</w:t>
            </w:r>
          </w:p>
        </w:tc>
        <w:tc>
          <w:tcPr>
            <w:tcW w:w="100" w:type="dxa"/>
            <w:vAlign w:val="bottom"/>
          </w:tcPr>
          <w:p>
            <w:pPr>
              <w:spacing w:after="0"/>
              <w:rPr>
                <w:sz w:val="17"/>
                <w:szCs w:val="17"/>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March 31, 2025</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291,371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0" w:type="dxa"/>
            <w:vAlign w:val="bottom"/>
          </w:tcPr>
          <w:p>
            <w:pPr>
              <w:spacing w:after="0"/>
              <w:rPr>
                <w:sz w:val="1"/>
                <w:szCs w:val="1"/>
                <w:color w:val="auto"/>
              </w:rPr>
            </w:pPr>
          </w:p>
        </w:tc>
      </w:tr>
      <w:tr>
        <w:trPr>
          <w:trHeight w:val="223"/>
        </w:trPr>
        <w:tc>
          <w:tcPr>
            <w:tcW w:w="4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All Other Assets</w:t>
            </w: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3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0" w:type="dxa"/>
            <w:vAlign w:val="bottom"/>
          </w:tcPr>
          <w:p>
            <w:pPr>
              <w:spacing w:after="0"/>
              <w:rPr>
                <w:sz w:val="1"/>
                <w:szCs w:val="1"/>
                <w:color w:val="auto"/>
              </w:rPr>
            </w:pPr>
          </w:p>
        </w:tc>
      </w:tr>
      <w:tr>
        <w:trPr>
          <w:trHeight w:val="244"/>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7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238,772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354,875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40" w:type="dxa"/>
            <w:vAlign w:val="bottom"/>
            <w:vMerge w:val="restart"/>
          </w:tcPr>
          <w:p>
            <w:pPr>
              <w:jc w:val="right"/>
              <w:ind w:right="1319"/>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1"/>
        </w:trPr>
        <w:tc>
          <w:tcPr>
            <w:tcW w:w="43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8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Business Segment Information Attributable to Ben's Equity Holders</w:t>
      </w:r>
      <w:r>
        <w:rPr>
          <w:rFonts w:ascii="Times New Roman" w:cs="Times New Roman" w:eastAsia="Times New Roman" w:hAnsi="Times New Roman"/>
          <w:sz w:val="23"/>
          <w:szCs w:val="23"/>
          <w:b w:val="1"/>
          <w:bCs w:val="1"/>
          <w:color w:val="auto"/>
          <w:vertAlign w:val="superscript"/>
        </w:rPr>
        <w:t>(1)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Table 3 </w:t>
      </w:r>
      <w:r>
        <w:rPr>
          <w:rFonts w:ascii="Times New Roman" w:cs="Times New Roman" w:eastAsia="Times New Roman" w:hAnsi="Times New Roman"/>
          <w:sz w:val="17"/>
          <w:szCs w:val="17"/>
          <w:color w:val="auto"/>
        </w:rPr>
        <w:t>below presents unaudited segment revenues and segment operating income (loss) for business segments attributable to Ben's equity holders.</w:t>
      </w:r>
    </w:p>
    <w:p>
      <w:pPr>
        <w:sectPr>
          <w:pgSz w:w="11900" w:h="16838" w:orient="portrait"/>
          <w:cols w:equalWidth="0" w:num="1">
            <w:col w:w="11240"/>
          </w:cols>
          <w:pgMar w:left="320" w:top="1331" w:right="339" w:bottom="1440" w:gutter="0" w:footer="0" w:header="0"/>
        </w:sectPr>
      </w:pPr>
    </w:p>
    <w:p>
      <w:pPr>
        <w:spacing w:after="0" w:line="176" w:lineRule="exact"/>
        <w:rPr>
          <w:sz w:val="20"/>
          <w:szCs w:val="20"/>
          <w:color w:val="auto"/>
        </w:rPr>
      </w:pPr>
    </w:p>
    <w:p>
      <w:pPr>
        <w:ind w:left="80" w:right="40"/>
        <w:spacing w:after="0" w:line="203" w:lineRule="auto"/>
        <w:rPr>
          <w:sz w:val="20"/>
          <w:szCs w:val="20"/>
          <w:color w:val="auto"/>
        </w:rPr>
      </w:pPr>
      <w:r>
        <w:rPr>
          <w:rFonts w:ascii="Times New Roman" w:cs="Times New Roman" w:eastAsia="Times New Roman" w:hAnsi="Times New Roman"/>
          <w:sz w:val="16"/>
          <w:szCs w:val="16"/>
          <w:b w:val="1"/>
          <w:bCs w:val="1"/>
          <w:color w:val="auto"/>
        </w:rPr>
        <w:t>Segment Revenues Attributable to Ben's Equity Holders</w:t>
      </w:r>
      <w:r>
        <w:rPr>
          <w:rFonts w:ascii="Times New Roman" w:cs="Times New Roman" w:eastAsia="Times New Roman" w:hAnsi="Times New Roman"/>
          <w:sz w:val="21"/>
          <w:szCs w:val="21"/>
          <w:b w:val="1"/>
          <w:bCs w:val="1"/>
          <w:color w:val="auto"/>
          <w:vertAlign w:val="superscript"/>
        </w:rPr>
        <w:t>(1)</w:t>
      </w: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Ben Liquidity</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Ben Custody</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&amp; Other</w:t>
      </w:r>
    </w:p>
    <w:p>
      <w:pPr>
        <w:spacing w:after="0" w:line="71" w:lineRule="exact"/>
        <w:rPr>
          <w:sz w:val="20"/>
          <w:szCs w:val="20"/>
          <w:color w:val="auto"/>
        </w:rPr>
      </w:pPr>
    </w:p>
    <w:p>
      <w:pPr>
        <w:ind w:left="140"/>
        <w:spacing w:after="0" w:line="286" w:lineRule="auto"/>
        <w:rPr>
          <w:sz w:val="20"/>
          <w:szCs w:val="20"/>
          <w:color w:val="auto"/>
        </w:rPr>
      </w:pPr>
      <w:r>
        <w:rPr>
          <w:rFonts w:ascii="Times New Roman" w:cs="Times New Roman" w:eastAsia="Times New Roman" w:hAnsi="Times New Roman"/>
          <w:sz w:val="16"/>
          <w:szCs w:val="16"/>
          <w:b w:val="1"/>
          <w:bCs w:val="1"/>
          <w:color w:val="auto"/>
        </w:rPr>
        <w:t>Total Segment Revenues Attributable to Ben's Equity Holders</w:t>
      </w:r>
      <w:r>
        <w:rPr>
          <w:rFonts w:ascii="Times New Roman" w:cs="Times New Roman" w:eastAsia="Times New Roman" w:hAnsi="Times New Roman"/>
          <w:sz w:val="21"/>
          <w:szCs w:val="21"/>
          <w:b w:val="1"/>
          <w:bCs w:val="1"/>
          <w:color w:val="auto"/>
          <w:vertAlign w:val="superscript"/>
        </w:rPr>
        <w:t>(1)</w:t>
      </w: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Segment Operating Income (Loss)</w:t>
      </w:r>
    </w:p>
    <w:p>
      <w:pPr>
        <w:ind w:left="80"/>
        <w:spacing w:after="0" w:line="185" w:lineRule="auto"/>
        <w:rPr>
          <w:sz w:val="20"/>
          <w:szCs w:val="20"/>
          <w:color w:val="auto"/>
        </w:rPr>
      </w:pPr>
      <w:r>
        <w:rPr>
          <w:rFonts w:ascii="Times New Roman" w:cs="Times New Roman" w:eastAsia="Times New Roman" w:hAnsi="Times New Roman"/>
          <w:sz w:val="15"/>
          <w:szCs w:val="15"/>
          <w:b w:val="1"/>
          <w:bCs w:val="1"/>
          <w:color w:val="auto"/>
        </w:rPr>
        <w:t>Attributable to Ben's Equity Holders</w:t>
      </w:r>
      <w:r>
        <w:rPr>
          <w:rFonts w:ascii="Times New Roman" w:cs="Times New Roman" w:eastAsia="Times New Roman" w:hAnsi="Times New Roman"/>
          <w:sz w:val="20"/>
          <w:szCs w:val="20"/>
          <w:b w:val="1"/>
          <w:bCs w:val="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Ben Liquidity</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Ben Custody</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&amp; Other</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 Segment Operating Income (Loss)</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Attributable to Ben's Equity Holders</w:t>
      </w:r>
      <w:r>
        <w:rPr>
          <w:rFonts w:ascii="Times New Roman" w:cs="Times New Roman" w:eastAsia="Times New Roman" w:hAnsi="Times New Roman"/>
          <w:sz w:val="21"/>
          <w:szCs w:val="21"/>
          <w:b w:val="1"/>
          <w:bCs w:val="1"/>
          <w:color w:val="auto"/>
          <w:vertAlign w:val="superscript"/>
        </w:rPr>
        <w:t>(1)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4Q26</w:t>
            </w:r>
          </w:p>
        </w:tc>
        <w:tc>
          <w:tcPr>
            <w:tcW w:w="60" w:type="dxa"/>
            <w:vAlign w:val="bottom"/>
          </w:tcPr>
          <w:p>
            <w:pPr>
              <w:spacing w:after="0"/>
              <w:rPr>
                <w:sz w:val="17"/>
                <w:szCs w:val="17"/>
                <w:color w:val="auto"/>
              </w:rPr>
            </w:pP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Fiscal 3Q26</w:t>
            </w:r>
          </w:p>
        </w:tc>
        <w:tc>
          <w:tcPr>
            <w:tcW w:w="100" w:type="dxa"/>
            <w:vAlign w:val="bottom"/>
          </w:tcPr>
          <w:p>
            <w:pPr>
              <w:spacing w:after="0"/>
              <w:rPr>
                <w:sz w:val="17"/>
                <w:szCs w:val="17"/>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Fiscal 4Q25</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Change % vs.</w:t>
            </w:r>
          </w:p>
        </w:tc>
        <w:tc>
          <w:tcPr>
            <w:tcW w:w="14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Change % vs.</w:t>
            </w:r>
          </w:p>
        </w:tc>
      </w:tr>
      <w:tr>
        <w:trPr>
          <w:trHeight w:val="212"/>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Prior Quarter</w:t>
            </w:r>
          </w:p>
        </w:tc>
        <w:tc>
          <w:tcPr>
            <w:tcW w:w="1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Prior YTD</w:t>
            </w:r>
          </w:p>
        </w:tc>
      </w:tr>
      <w:tr>
        <w:trPr>
          <w:trHeight w:val="33"/>
        </w:trPr>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7,900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42,583</w:t>
            </w:r>
          </w:p>
        </w:tc>
        <w:tc>
          <w:tcPr>
            <w:tcW w:w="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20" w:type="dxa"/>
            <w:vAlign w:val="bottom"/>
          </w:tcPr>
          <w:p>
            <w:pPr>
              <w:spacing w:after="0"/>
              <w:rPr>
                <w:sz w:val="18"/>
                <w:szCs w:val="18"/>
                <w:color w:val="auto"/>
              </w:rPr>
            </w:pPr>
          </w:p>
        </w:tc>
      </w:tr>
      <w:tr>
        <w:trPr>
          <w:trHeight w:val="257"/>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2,535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12,743</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21,574</w:t>
            </w:r>
          </w:p>
        </w:tc>
        <w:tc>
          <w:tcPr>
            <w:tcW w:w="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2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43,951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9,456</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4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409"/>
        </w:trPr>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(23,942)</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55,084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14,253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NM</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55,620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63,735</w:t>
            </w:r>
          </w:p>
        </w:tc>
        <w:tc>
          <w:tcPr>
            <w:tcW w:w="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20" w:type="dxa"/>
            <w:vAlign w:val="bottom"/>
          </w:tcPr>
          <w:p>
            <w:pPr>
              <w:spacing w:after="0"/>
              <w:rPr>
                <w:sz w:val="24"/>
                <w:szCs w:val="24"/>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423"/>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4Q26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3Q26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Fiscal 4Q25</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 w:type="dxa"/>
            <w:vAlign w:val="bottom"/>
          </w:tcPr>
          <w:p>
            <w:pPr>
              <w:spacing w:after="0"/>
              <w:rPr>
                <w:sz w:val="17"/>
                <w:szCs w:val="17"/>
                <w:color w:val="auto"/>
              </w:rPr>
            </w:pP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Change % vs.</w:t>
            </w:r>
          </w:p>
        </w:tc>
        <w:tc>
          <w:tcPr>
            <w:tcW w:w="14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Change % vs.</w:t>
            </w:r>
          </w:p>
        </w:tc>
      </w:tr>
      <w:tr>
        <w:trPr>
          <w:trHeight w:val="212"/>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Prior Quarter</w:t>
            </w:r>
          </w:p>
        </w:tc>
        <w:tc>
          <w:tcPr>
            <w:tcW w:w="14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Prior YTD</w:t>
            </w:r>
          </w:p>
        </w:tc>
      </w:tr>
      <w:tr>
        <w:trPr>
          <w:trHeight w:val="33"/>
        </w:trPr>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217"/>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auto"/>
              </w:rPr>
              <w:t>(19,694)</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(29,167)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(12,340)</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(12,802)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NM</w:t>
            </w:r>
          </w:p>
        </w:tc>
      </w:tr>
      <w:tr>
        <w:trPr>
          <w:trHeight w:val="257"/>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4,165</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13,288</w:t>
            </w:r>
          </w:p>
        </w:tc>
        <w:tc>
          <w:tcPr>
            <w:tcW w:w="4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(40.1)%</w:t>
            </w:r>
          </w:p>
        </w:tc>
      </w:tr>
      <w:tr>
        <w:trPr>
          <w:trHeight w:val="256"/>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auto"/>
              </w:rPr>
              <w:t>(45,860)</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(8,487)</w:t>
            </w:r>
          </w:p>
        </w:tc>
        <w:tc>
          <w:tcPr>
            <w:tcW w:w="20" w:type="dxa"/>
            <w:vAlign w:val="bottom"/>
          </w:tcPr>
          <w:p>
            <w:pPr>
              <w:spacing w:after="0"/>
              <w:rPr>
                <w:sz w:val="22"/>
                <w:szCs w:val="22"/>
                <w:color w:val="auto"/>
              </w:rPr>
            </w:pPr>
          </w:p>
        </w:tc>
        <w:tc>
          <w:tcPr>
            <w:tcW w:w="112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(93,128)</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4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gridSpan w:val="2"/>
          </w:tcPr>
          <w:p>
            <w:pPr>
              <w:spacing w:after="0"/>
              <w:rPr>
                <w:sz w:val="2"/>
                <w:szCs w:val="2"/>
                <w:color w:val="auto"/>
              </w:rPr>
            </w:pPr>
          </w:p>
        </w:tc>
      </w:tr>
      <w:tr>
        <w:trPr>
          <w:trHeight w:val="409"/>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(65,009)</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8,656</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(16,662)</w:t>
            </w:r>
          </w:p>
        </w:tc>
        <w:tc>
          <w:tcPr>
            <w:tcW w:w="20" w:type="dxa"/>
            <w:vAlign w:val="bottom"/>
          </w:tcPr>
          <w:p>
            <w:pPr>
              <w:spacing w:after="0"/>
              <w:rPr>
                <w:sz w:val="24"/>
                <w:szCs w:val="24"/>
                <w:color w:val="auto"/>
              </w:rPr>
            </w:pPr>
          </w:p>
        </w:tc>
        <w:tc>
          <w:tcPr>
            <w:tcW w:w="112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NM</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(140,873)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10,729</w:t>
            </w:r>
          </w:p>
        </w:tc>
        <w:tc>
          <w:tcPr>
            <w:tcW w:w="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NM</w:t>
            </w:r>
          </w:p>
        </w:tc>
      </w:tr>
      <w:tr>
        <w:trPr>
          <w:trHeight w:val="23"/>
        </w:trPr>
        <w:tc>
          <w:tcPr>
            <w:tcW w:w="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-2168525</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-1833880</wp:posOffset>
            </wp:positionV>
            <wp:extent cx="71151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-805180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-471170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2900" w:space="380"/>
            <w:col w:w="7960"/>
          </w:cols>
          <w:pgMar w:left="320" w:top="1331" w:right="339" w:bottom="1440" w:gutter="0" w:footer="0" w:header="0"/>
          <w:type w:val="continuous"/>
        </w:sectPr>
      </w:pPr>
    </w:p>
    <w:p>
      <w:pPr>
        <w:jc w:val="both"/>
        <w:ind w:left="180" w:hanging="172"/>
        <w:spacing w:after="0" w:line="248" w:lineRule="auto"/>
        <w:tabs>
          <w:tab w:leader="none" w:pos="179"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Segment financial information attributable to Ben’s equity holders is presented to provide users of our financial information an understanding and visual aide of the segment information (revenues, operating income (loss), and adjusted operating income (loss)) that impacts Ben’s Equity Holders. Ben’s Equity Holders refers to the holders of Beneficient Class A and Class B common stock and Series B Preferred Stock as well as holders of interests in BCH which represent noncontrolling interests. For a description of noncontrolling interests, see Item 7 of our Annual Report on Form 10-K for the year ended March 31, 2026, and Reconciliation of Business Segment Information Attributable to Ben’s Equity Holders to Net Income (Loss) Attributable to Ben Common Holders. Such information is computed as the sum of the Ben Liquidity, Ben Custody and Corp/Other segments since it is the operating results of those segments that determine the net income (loss) attributable to Ben’s Equity Holders. See further information in table 5 and Non-GAAP Reconciliations.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Business Segment Information Attributable to Ben's Equity Holders</w:t>
      </w:r>
      <w:r>
        <w:rPr>
          <w:rFonts w:ascii="Times New Roman" w:cs="Times New Roman" w:eastAsia="Times New Roman" w:hAnsi="Times New Roman"/>
          <w:sz w:val="23"/>
          <w:szCs w:val="23"/>
          <w:b w:val="1"/>
          <w:bCs w:val="1"/>
          <w:color w:val="auto"/>
          <w:vertAlign w:val="superscript"/>
        </w:rPr>
        <w:t>(2)</w:t>
      </w:r>
    </w:p>
    <w:p>
      <w:pPr>
        <w:spacing w:after="0" w:line="6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Table 4 </w:t>
      </w:r>
      <w:r>
        <w:rPr>
          <w:rFonts w:ascii="Times New Roman" w:cs="Times New Roman" w:eastAsia="Times New Roman" w:hAnsi="Times New Roman"/>
          <w:sz w:val="18"/>
          <w:szCs w:val="18"/>
          <w:color w:val="auto"/>
        </w:rPr>
        <w:t>below presents unaudited adjusted segment revenue and adjusted segment operating income (loss) for business segments attributable to Ben's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holders.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Adjusted Segment Revenues Attributable to</w:t>
            </w:r>
          </w:p>
        </w:tc>
        <w:tc>
          <w:tcPr>
            <w:tcW w:w="140" w:type="dxa"/>
            <w:vAlign w:val="bottom"/>
          </w:tcPr>
          <w:p>
            <w:pPr>
              <w:spacing w:after="0"/>
              <w:rPr>
                <w:sz w:val="20"/>
                <w:szCs w:val="20"/>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Fiscal 4Q26</w:t>
            </w:r>
          </w:p>
        </w:tc>
        <w:tc>
          <w:tcPr>
            <w:tcW w:w="140" w:type="dxa"/>
            <w:vAlign w:val="bottom"/>
          </w:tcPr>
          <w:p>
            <w:pPr>
              <w:spacing w:after="0"/>
              <w:rPr>
                <w:sz w:val="20"/>
                <w:szCs w:val="20"/>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Fiscal 3Q26</w:t>
            </w:r>
          </w:p>
        </w:tc>
        <w:tc>
          <w:tcPr>
            <w:tcW w:w="100" w:type="dxa"/>
            <w:vAlign w:val="bottom"/>
          </w:tcPr>
          <w:p>
            <w:pPr>
              <w:spacing w:after="0"/>
              <w:rPr>
                <w:sz w:val="20"/>
                <w:szCs w:val="20"/>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Fiscal 4Q25</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Change % vs.</w:t>
            </w:r>
          </w:p>
        </w:tc>
        <w:tc>
          <w:tcPr>
            <w:tcW w:w="140" w:type="dxa"/>
            <w:vAlign w:val="bottom"/>
          </w:tcPr>
          <w:p>
            <w:pPr>
              <w:spacing w:after="0"/>
              <w:rPr>
                <w:sz w:val="20"/>
                <w:szCs w:val="20"/>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40" w:type="dxa"/>
            <w:vAlign w:val="bottom"/>
          </w:tcPr>
          <w:p>
            <w:pPr>
              <w:spacing w:after="0"/>
              <w:rPr>
                <w:sz w:val="20"/>
                <w:szCs w:val="20"/>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 vs.</w:t>
            </w:r>
          </w:p>
        </w:tc>
        <w:tc>
          <w:tcPr>
            <w:tcW w:w="0" w:type="dxa"/>
            <w:vAlign w:val="bottom"/>
          </w:tcPr>
          <w:p>
            <w:pPr>
              <w:spacing w:after="0"/>
              <w:rPr>
                <w:sz w:val="1"/>
                <w:szCs w:val="1"/>
                <w:color w:val="auto"/>
              </w:rPr>
            </w:pPr>
          </w:p>
        </w:tc>
      </w:tr>
      <w:tr>
        <w:trPr>
          <w:trHeight w:val="173"/>
        </w:trPr>
        <w:tc>
          <w:tcPr>
            <w:tcW w:w="3420" w:type="dxa"/>
            <w:vAlign w:val="bottom"/>
          </w:tcPr>
          <w:p>
            <w:pPr>
              <w:ind w:left="80"/>
              <w:spacing w:after="0" w:line="173" w:lineRule="exact"/>
              <w:rPr>
                <w:sz w:val="20"/>
                <w:szCs w:val="20"/>
                <w:color w:val="auto"/>
              </w:rPr>
            </w:pPr>
            <w:r>
              <w:rPr>
                <w:rFonts w:ascii="Times New Roman" w:cs="Times New Roman" w:eastAsia="Times New Roman" w:hAnsi="Times New Roman"/>
                <w:sz w:val="15"/>
                <w:szCs w:val="15"/>
                <w:b w:val="1"/>
                <w:bCs w:val="1"/>
                <w:color w:val="auto"/>
              </w:rPr>
              <w:t>Ben's Equity Holders</w:t>
            </w:r>
            <w:r>
              <w:rPr>
                <w:rFonts w:ascii="Times New Roman" w:cs="Times New Roman" w:eastAsia="Times New Roman" w:hAnsi="Times New Roman"/>
                <w:sz w:val="20"/>
                <w:szCs w:val="20"/>
                <w:color w:val="auto"/>
                <w:vertAlign w:val="superscript"/>
              </w:rPr>
              <w:t>(1)(2)</w:t>
            </w:r>
          </w:p>
        </w:tc>
        <w:tc>
          <w:tcPr>
            <w:tcW w:w="140" w:type="dxa"/>
            <w:vAlign w:val="bottom"/>
          </w:tcPr>
          <w:p>
            <w:pPr>
              <w:spacing w:after="0"/>
              <w:rPr>
                <w:sz w:val="15"/>
                <w:szCs w:val="15"/>
                <w:color w:val="auto"/>
              </w:rPr>
            </w:pPr>
          </w:p>
        </w:tc>
        <w:tc>
          <w:tcPr>
            <w:tcW w:w="960" w:type="dxa"/>
            <w:vAlign w:val="bottom"/>
          </w:tcPr>
          <w:p>
            <w:pPr>
              <w:jc w:val="center"/>
              <w:ind w:right="39"/>
              <w:spacing w:after="0" w:line="173"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14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980" w:type="dxa"/>
            <w:vAlign w:val="bottom"/>
          </w:tcPr>
          <w:p>
            <w:pPr>
              <w:jc w:val="center"/>
              <w:ind w:right="39"/>
              <w:spacing w:after="0" w:line="173"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140" w:type="dxa"/>
            <w:vAlign w:val="bottom"/>
          </w:tcPr>
          <w:p>
            <w:pPr>
              <w:spacing w:after="0"/>
              <w:rPr>
                <w:sz w:val="18"/>
                <w:szCs w:val="18"/>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Prior Quarter</w:t>
            </w:r>
          </w:p>
        </w:tc>
        <w:tc>
          <w:tcPr>
            <w:tcW w:w="14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Prior YTD</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 Liquidity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42,583</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(21.5)%</w:t>
            </w:r>
          </w:p>
        </w:tc>
        <w:tc>
          <w:tcPr>
            <w:tcW w:w="0" w:type="dxa"/>
            <w:vAlign w:val="bottom"/>
          </w:tcPr>
          <w:p>
            <w:pPr>
              <w:spacing w:after="0"/>
              <w:rPr>
                <w:sz w:val="1"/>
                <w:szCs w:val="1"/>
                <w:color w:val="auto"/>
              </w:rPr>
            </w:pPr>
          </w:p>
        </w:tc>
      </w:tr>
      <w:tr>
        <w:trPr>
          <w:trHeight w:val="224"/>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 Custody</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(40.9)%</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90.4%</w:t>
            </w:r>
          </w:p>
        </w:tc>
        <w:tc>
          <w:tcPr>
            <w:tcW w:w="0" w:type="dxa"/>
            <w:vAlign w:val="bottom"/>
          </w:tcPr>
          <w:p>
            <w:pPr>
              <w:spacing w:after="0"/>
              <w:rPr>
                <w:sz w:val="1"/>
                <w:szCs w:val="1"/>
                <w:color w:val="auto"/>
              </w:rPr>
            </w:pPr>
          </w:p>
        </w:tc>
      </w:tr>
      <w:tr>
        <w:trPr>
          <w:trHeight w:val="183"/>
        </w:trPr>
        <w:tc>
          <w:tcPr>
            <w:tcW w:w="3420" w:type="dxa"/>
            <w:vAlign w:val="bottom"/>
          </w:tcPr>
          <w:p>
            <w:pPr>
              <w:ind w:left="140"/>
              <w:spacing w:after="0" w:line="183" w:lineRule="exact"/>
              <w:rPr>
                <w:sz w:val="20"/>
                <w:szCs w:val="20"/>
                <w:color w:val="auto"/>
              </w:rPr>
            </w:pPr>
            <w:r>
              <w:rPr>
                <w:rFonts w:ascii="Times New Roman" w:cs="Times New Roman" w:eastAsia="Times New Roman" w:hAnsi="Times New Roman"/>
                <w:sz w:val="16"/>
                <w:szCs w:val="16"/>
                <w:b w:val="1"/>
                <w:bCs w:val="1"/>
                <w:color w:val="auto"/>
              </w:rPr>
              <w:t>Total Adjusted Segment Revenues Attributable</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10,625</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11,021</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14,253</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46,124</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63,742</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40"/>
              <w:spacing w:after="0" w:line="229" w:lineRule="exact"/>
              <w:rPr>
                <w:sz w:val="20"/>
                <w:szCs w:val="20"/>
                <w:color w:val="auto"/>
              </w:rPr>
            </w:pPr>
            <w:r>
              <w:rPr>
                <w:rFonts w:ascii="Times New Roman" w:cs="Times New Roman" w:eastAsia="Times New Roman" w:hAnsi="Times New Roman"/>
                <w:sz w:val="16"/>
                <w:szCs w:val="16"/>
                <w:b w:val="1"/>
                <w:bCs w:val="1"/>
                <w:color w:val="auto"/>
              </w:rPr>
              <w:t>to Ben's Equity Holders</w:t>
            </w:r>
            <w:r>
              <w:rPr>
                <w:rFonts w:ascii="Times New Roman" w:cs="Times New Roman" w:eastAsia="Times New Roman" w:hAnsi="Times New Roman"/>
                <w:sz w:val="21"/>
                <w:szCs w:val="21"/>
                <w:b w:val="1"/>
                <w:bCs w:val="1"/>
                <w:color w:val="auto"/>
                <w:vertAlign w:val="superscript"/>
              </w:rPr>
              <w:t>(1)(2)</w:t>
            </w:r>
          </w:p>
        </w:tc>
        <w:tc>
          <w:tcPr>
            <w:tcW w:w="1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(3.6)%</w:t>
            </w: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(27.6)%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1" w:right="339" w:bottom="1440" w:gutter="0" w:footer="0" w:header="0"/>
          <w:type w:val="continuous"/>
        </w:sectPr>
      </w:pPr>
    </w:p>
    <w:bookmarkStart w:id="8" w:name="page9"/>
    <w:bookmarkEnd w:id="8"/>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Adjusted Segment Operating Income (Loss)</w:t>
      </w:r>
    </w:p>
    <w:p>
      <w:pPr>
        <w:ind w:left="80"/>
        <w:spacing w:after="0" w:line="191" w:lineRule="auto"/>
        <w:rPr>
          <w:sz w:val="20"/>
          <w:szCs w:val="20"/>
          <w:color w:val="auto"/>
        </w:rPr>
      </w:pPr>
      <w:r>
        <w:rPr>
          <w:rFonts w:ascii="Times New Roman" w:cs="Times New Roman" w:eastAsia="Times New Roman" w:hAnsi="Times New Roman"/>
          <w:sz w:val="16"/>
          <w:szCs w:val="16"/>
          <w:b w:val="1"/>
          <w:bCs w:val="1"/>
          <w:color w:val="auto"/>
        </w:rPr>
        <w:t>Attributable to Ben's Equity Holders</w:t>
      </w:r>
      <w:r>
        <w:rPr>
          <w:rFonts w:ascii="Times New Roman" w:cs="Times New Roman" w:eastAsia="Times New Roman" w:hAnsi="Times New Roman"/>
          <w:sz w:val="21"/>
          <w:szCs w:val="21"/>
          <w:b w:val="1"/>
          <w:bCs w:val="1"/>
          <w:color w:val="auto"/>
          <w:vertAlign w:val="superscript"/>
        </w:rPr>
        <w:t>(1)(2)</w:t>
      </w:r>
    </w:p>
    <w:p>
      <w:pPr>
        <w:ind w:left="20"/>
        <w:spacing w:after="0"/>
        <w:rPr>
          <w:sz w:val="20"/>
          <w:szCs w:val="20"/>
          <w:color w:val="auto"/>
        </w:rPr>
      </w:pPr>
      <w:r>
        <w:rPr>
          <w:rFonts w:ascii="Times New Roman" w:cs="Times New Roman" w:eastAsia="Times New Roman" w:hAnsi="Times New Roman"/>
          <w:sz w:val="16"/>
          <w:szCs w:val="16"/>
          <w:color w:val="auto"/>
        </w:rPr>
        <w:t>($ in thousands)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Ben Liquidity</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Ben Custody</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 &amp; Other</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 Adjusted Segment Operating Income</w:t>
      </w:r>
    </w:p>
    <w:p>
      <w:pPr>
        <w:ind w:left="140"/>
        <w:spacing w:after="0" w:line="186" w:lineRule="auto"/>
        <w:rPr>
          <w:sz w:val="20"/>
          <w:szCs w:val="20"/>
          <w:color w:val="auto"/>
        </w:rPr>
      </w:pPr>
      <w:r>
        <w:rPr>
          <w:rFonts w:ascii="Times New Roman" w:cs="Times New Roman" w:eastAsia="Times New Roman" w:hAnsi="Times New Roman"/>
          <w:sz w:val="15"/>
          <w:szCs w:val="15"/>
          <w:b w:val="1"/>
          <w:bCs w:val="1"/>
          <w:color w:val="auto"/>
        </w:rPr>
        <w:t>(Loss) Attributable to Ben's Equity Holders</w:t>
      </w:r>
      <w:r>
        <w:rPr>
          <w:rFonts w:ascii="Times New Roman" w:cs="Times New Roman" w:eastAsia="Times New Roman" w:hAnsi="Times New Roman"/>
          <w:sz w:val="19"/>
          <w:szCs w:val="19"/>
          <w:b w:val="1"/>
          <w:bCs w:val="1"/>
          <w:color w:val="auto"/>
          <w:vertAlign w:val="superscript"/>
        </w:rPr>
        <w:t>(1)</w:t>
      </w:r>
    </w:p>
    <w:p>
      <w:pPr>
        <w:ind w:left="140"/>
        <w:spacing w:after="0"/>
        <w:rPr>
          <w:sz w:val="20"/>
          <w:szCs w:val="20"/>
          <w:color w:val="auto"/>
        </w:rPr>
      </w:pPr>
      <w:r>
        <w:rPr>
          <w:rFonts w:ascii="Times New Roman" w:cs="Times New Roman" w:eastAsia="Times New Roman" w:hAnsi="Times New Roman"/>
          <w:sz w:val="11"/>
          <w:szCs w:val="11"/>
          <w:b w:val="1"/>
          <w:bCs w:val="1"/>
          <w:color w:val="auto"/>
        </w:rPr>
        <w:t>(2)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Fiscal 4Q26</w:t>
            </w:r>
          </w:p>
        </w:tc>
        <w:tc>
          <w:tcPr>
            <w:tcW w:w="12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Fiscal 3Q26</w:t>
            </w:r>
          </w:p>
        </w:tc>
        <w:tc>
          <w:tcPr>
            <w:tcW w:w="12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Fiscal 4Q25</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 % vs.</w:t>
            </w:r>
          </w:p>
        </w:tc>
        <w:tc>
          <w:tcPr>
            <w:tcW w:w="14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4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 vs.</w:t>
            </w:r>
          </w:p>
        </w:tc>
      </w:tr>
      <w:tr>
        <w:trPr>
          <w:trHeight w:val="212"/>
        </w:trPr>
        <w:tc>
          <w:tcPr>
            <w:tcW w:w="14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8"/>
                <w:szCs w:val="18"/>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Prior Quarter</w:t>
            </w:r>
          </w:p>
        </w:tc>
        <w:tc>
          <w:tcPr>
            <w:tcW w:w="14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Prior YTD</w:t>
            </w:r>
          </w:p>
        </w:tc>
      </w:tr>
      <w:tr>
        <w:trPr>
          <w:trHeight w:val="33"/>
        </w:trPr>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(12,797)</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56"/>
        </w:trPr>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40" w:type="dxa"/>
            <w:vAlign w:val="bottom"/>
          </w:tcPr>
          <w:p>
            <w:pPr>
              <w:spacing w:after="0"/>
              <w:rPr>
                <w:sz w:val="22"/>
                <w:szCs w:val="22"/>
                <w:color w:val="auto"/>
              </w:rPr>
            </w:pPr>
          </w:p>
        </w:tc>
        <w:tc>
          <w:tcPr>
            <w:tcW w:w="100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18,522</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(57.1)%</w:t>
            </w:r>
          </w:p>
        </w:tc>
      </w:tr>
      <w:tr>
        <w:trPr>
          <w:trHeight w:val="257"/>
        </w:trPr>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(20,646)</w:t>
            </w:r>
          </w:p>
        </w:tc>
        <w:tc>
          <w:tcPr>
            <w:tcW w:w="140" w:type="dxa"/>
            <w:vAlign w:val="bottom"/>
          </w:tcPr>
          <w:p>
            <w:pPr>
              <w:spacing w:after="0"/>
              <w:rPr>
                <w:sz w:val="22"/>
                <w:szCs w:val="22"/>
                <w:color w:val="auto"/>
              </w:rPr>
            </w:pPr>
          </w:p>
        </w:tc>
        <w:tc>
          <w:tcPr>
            <w:tcW w:w="10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(31,127)</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33.7%</w:t>
            </w:r>
          </w:p>
        </w:tc>
      </w:tr>
      <w:tr>
        <w:trPr>
          <w:trHeight w:val="33"/>
        </w:trPr>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544"/>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(24,557)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(32,052)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(13,851)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23.4%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(68,391)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(25,402)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NM</w:t>
            </w:r>
          </w:p>
        </w:tc>
      </w:tr>
      <w:tr>
        <w:trPr>
          <w:trHeight w:val="23"/>
        </w:trPr>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-890905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-556260</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3280" w:space="100"/>
            <w:col w:w="7860"/>
          </w:cols>
          <w:pgMar w:left="320" w:top="1339" w:right="339" w:bottom="1440" w:gutter="0" w:footer="0" w:header="0"/>
        </w:sectPr>
      </w:pPr>
    </w:p>
    <w:p>
      <w:pPr>
        <w:jc w:val="both"/>
        <w:ind w:left="180" w:hanging="172"/>
        <w:spacing w:after="0"/>
        <w:tabs>
          <w:tab w:leader="none" w:pos="15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Adjusted Revenues, Adjusted Operating Income (Loss), Adjusted Segment Revenues attributable to Ben's Equity Holders and Adjusted Segment Operating Income (Loss) attributable to Ben's Equity Holders are non-GAAP financial measures. For reconciliations of our non-GAAP measures to the most directly comparable GAAP financial measures and for the reasons we believe the non-GAAP measures provide useful information, see Non-GAAP Reconciliations.</w:t>
      </w:r>
    </w:p>
    <w:p>
      <w:pPr>
        <w:jc w:val="both"/>
        <w:ind w:left="180" w:hanging="172"/>
        <w:spacing w:after="0" w:line="257" w:lineRule="auto"/>
        <w:tabs>
          <w:tab w:leader="none" w:pos="164"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Segment financial information attributable to Ben’s equity holders is presented to provide users of our financial information an understanding and visual aide of the segment information (revenues, operating income (loss), and adjusted operating income (loss)) that impacts Ben’s Equity Holders. Ben’s Equity Holders refers to the holders of Beneficient Class A and Class B common stock and Series B Preferred Stock as well as holders of interests in BCH which represent noncontrolling interests. For a description of noncontrolling interests, see Item 7 of our Annual Report on Form 10-K for the year ended March 31, 2026, and Reconciliation of Business Segment Information Attributable to Ben’s Equity Holders to Net Income (Loss) Attributable to Ben Common Holders. Such information is computed as the sum of the Ben Liquidity, Ben Custody and Corp/Other segments since it is the operating results of those segments that determine the net income (loss) attributable to Ben’s Equity Holders. See further information in table 5 and Non-GAAP Reconciliations.</w:t>
      </w:r>
    </w:p>
    <w:p>
      <w:pPr>
        <w:spacing w:after="0" w:line="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b w:val="1"/>
          <w:bCs w:val="1"/>
          <w:color w:val="auto"/>
        </w:rPr>
        <w:t>Reconciliation of Business Segment Information Attributable to Ben's Equity Holders to Net Income (Loss) Attributable to Ben Common Shareholders</w:t>
      </w:r>
    </w:p>
    <w:p>
      <w:pPr>
        <w:spacing w:after="0" w:line="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Table 5 </w:t>
      </w:r>
      <w:r>
        <w:rPr>
          <w:rFonts w:ascii="Times New Roman" w:cs="Times New Roman" w:eastAsia="Times New Roman" w:hAnsi="Times New Roman"/>
          <w:sz w:val="18"/>
          <w:szCs w:val="18"/>
          <w:color w:val="auto"/>
        </w:rPr>
        <w:t>below presents reconciliation of operating income (loss) by business segment attributable to Ben's Equity Holders to net income (loss) attributable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Ben common shareholders.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Reconciliation of Business Segments to Net Income (Loss) Attributable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Fiscal 3Q26</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0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Fiscal 4Q26</w:t>
            </w:r>
          </w:p>
        </w:tc>
        <w:tc>
          <w:tcPr>
            <w:tcW w:w="140" w:type="dxa"/>
            <w:vAlign w:val="bottom"/>
          </w:tcPr>
          <w:p>
            <w:pPr>
              <w:spacing w:after="0"/>
              <w:rPr>
                <w:sz w:val="2"/>
                <w:szCs w:val="2"/>
                <w:color w:val="auto"/>
              </w:rPr>
            </w:pPr>
          </w:p>
        </w:tc>
        <w:tc>
          <w:tcPr>
            <w:tcW w:w="11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2"/>
                <w:szCs w:val="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Fiscal 4Q25</w:t>
            </w:r>
          </w:p>
        </w:tc>
        <w:tc>
          <w:tcPr>
            <w:tcW w:w="140" w:type="dxa"/>
            <w:vAlign w:val="bottom"/>
          </w:tcPr>
          <w:p>
            <w:pPr>
              <w:spacing w:after="0"/>
              <w:rPr>
                <w:sz w:val="2"/>
                <w:szCs w:val="2"/>
                <w:color w:val="auto"/>
              </w:rPr>
            </w:pPr>
          </w:p>
        </w:tc>
        <w:tc>
          <w:tcPr>
            <w:tcW w:w="100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160" w:type="dxa"/>
            <w:vAlign w:val="bottom"/>
          </w:tcPr>
          <w:p>
            <w:pPr>
              <w:spacing w:after="0"/>
              <w:rPr>
                <w:sz w:val="2"/>
                <w:szCs w:val="2"/>
                <w:color w:val="auto"/>
              </w:rPr>
            </w:pPr>
          </w:p>
        </w:tc>
        <w:tc>
          <w:tcPr>
            <w:tcW w:w="100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YTD Fiscal</w:t>
            </w:r>
          </w:p>
        </w:tc>
        <w:tc>
          <w:tcPr>
            <w:tcW w:w="0" w:type="dxa"/>
            <w:vAlign w:val="bottom"/>
          </w:tcPr>
          <w:p>
            <w:pPr>
              <w:spacing w:after="0" w:line="20" w:lineRule="exact"/>
              <w:rPr>
                <w:sz w:val="1"/>
                <w:szCs w:val="1"/>
                <w:color w:val="auto"/>
              </w:rPr>
            </w:pPr>
          </w:p>
        </w:tc>
      </w:tr>
      <w:tr>
        <w:trPr>
          <w:trHeight w:val="173"/>
        </w:trPr>
        <w:tc>
          <w:tcPr>
            <w:tcW w:w="5080" w:type="dxa"/>
            <w:vAlign w:val="bottom"/>
          </w:tcPr>
          <w:p>
            <w:pPr>
              <w:ind w:left="80"/>
              <w:spacing w:after="0" w:line="173" w:lineRule="exact"/>
              <w:rPr>
                <w:sz w:val="20"/>
                <w:szCs w:val="20"/>
                <w:color w:val="auto"/>
              </w:rPr>
            </w:pPr>
            <w:r>
              <w:rPr>
                <w:rFonts w:ascii="Times New Roman" w:cs="Times New Roman" w:eastAsia="Times New Roman" w:hAnsi="Times New Roman"/>
                <w:sz w:val="16"/>
                <w:szCs w:val="16"/>
                <w:b w:val="1"/>
                <w:bCs w:val="1"/>
                <w:color w:val="auto"/>
              </w:rPr>
              <w:t>to Ben Common Shareholders</w:t>
            </w: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126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8"/>
                <w:szCs w:val="18"/>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 Liquidity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0" w:type="dxa"/>
            <w:vAlign w:val="bottom"/>
          </w:tcPr>
          <w:p>
            <w:pPr>
              <w:spacing w:after="0"/>
              <w:rPr>
                <w:sz w:val="1"/>
                <w:szCs w:val="1"/>
                <w:color w:val="auto"/>
              </w:rPr>
            </w:pPr>
          </w:p>
        </w:tc>
      </w:tr>
      <w:tr>
        <w:trPr>
          <w:trHeight w:val="243"/>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 Custody</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0" w:type="dxa"/>
            <w:vAlign w:val="bottom"/>
          </w:tcPr>
          <w:p>
            <w:pPr>
              <w:spacing w:after="0"/>
              <w:rPr>
                <w:sz w:val="1"/>
                <w:szCs w:val="1"/>
                <w:color w:val="auto"/>
              </w:rPr>
            </w:pPr>
          </w:p>
        </w:tc>
      </w:tr>
      <w:tr>
        <w:trPr>
          <w:trHeight w:val="40"/>
        </w:trPr>
        <w:tc>
          <w:tcPr>
            <w:tcW w:w="5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&amp; Other</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(45,860)</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(93,128)</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liability resolution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w:t>
            </w:r>
          </w:p>
        </w:tc>
        <w:tc>
          <w:tcPr>
            <w:tcW w:w="0" w:type="dxa"/>
            <w:vAlign w:val="bottom"/>
          </w:tcPr>
          <w:p>
            <w:pPr>
              <w:spacing w:after="0"/>
              <w:rPr>
                <w:sz w:val="1"/>
                <w:szCs w:val="1"/>
                <w:color w:val="auto"/>
              </w:rPr>
            </w:pPr>
          </w:p>
        </w:tc>
      </w:tr>
      <w:tr>
        <w:trPr>
          <w:trHeight w:val="40"/>
        </w:trPr>
        <w:tc>
          <w:tcPr>
            <w:tcW w:w="5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(allocable to Ben and BCH equity holders)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 Ben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31,382</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70,583</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34,875</w:t>
            </w:r>
          </w:p>
        </w:tc>
        <w:tc>
          <w:tcPr>
            <w:tcW w:w="0" w:type="dxa"/>
            <w:vAlign w:val="bottom"/>
          </w:tcPr>
          <w:p>
            <w:pPr>
              <w:spacing w:after="0"/>
              <w:rPr>
                <w:sz w:val="1"/>
                <w:szCs w:val="1"/>
                <w:color w:val="auto"/>
              </w:rPr>
            </w:pPr>
          </w:p>
        </w:tc>
      </w:tr>
      <w:tr>
        <w:trPr>
          <w:trHeight w:val="40"/>
        </w:trPr>
        <w:tc>
          <w:tcPr>
            <w:tcW w:w="5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guaranteed payment</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Ben's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(38,634)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19,913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8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51,162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33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Beneficient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value-added services for their funds − with solutions that could help them unlock the value in their alternative assets.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subsidiary, Beneficient Fiduciary Financial, L.L.C., received its charter under the State of Kansas’ Technology-Enabled Fiduciary Financial Institution (TEFFI) Act and is subject to regulatory oversight by the Office of the State Bank Commissioner.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www.trustben.com or follow us on LinkedIn.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Kreps/214-597-8200/mkreps@darrowir.com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Wetherington/214-284-1199/mwetherington@darrowir.com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investors@beneficient.com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an Offer of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communication is for informational purposes only and shall not constitute, or form a part of, an offer to sell or the solicitation of an offer to sell or the solicitation of an offer to buy any securities. The securities that are the subject of the Transactions have not been registered under the Securities Act of 1933, as amended (the “Securities Act”), and may not be offered or sold in the United States absent registration or an applicable exemption from registration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 and Cautionary Note Regarding 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and Section 21E of the Securities Exchange Act of 1934, as amended, with respect to, among other things, demand for our solutions in the alternative asset industry, opportunities for market growth, our ability to identify and negotiate transactions, diversification and size of our loan portfolio, growth of our collateral management services and our ability to scale operations and provide shareholder value. These forward-looking statements are generally identified by the use of words such as “anticipate,” “believe,” “could,” “estimate,” “expect,” “intend,” “may,” “plan,” “potential,” “predict,” “project,” “should,” “target,” “will,” “would,” and, in each case, their negative or other various or comparable terminology. These forward-looking statements reflect our views with respect to future events as of the date of this document and are based on our management’s current expectations, estimates, forecasts, projections, assumptions, beliefs and information. Although management believes that the expectations reflected in these forward-looking statements are reasonable, it can give no assurance that these expectations will prove to have been correct. All such forward-looking statements are subject to risks and uncertainties, many of which are outside of our control, and could cause future events or results to be materially different from those stated or implied in this document. It is not possible to predict or identify all such risks. These risks include, but are not limited to, our ability to consummate liquidity transactions on terms desirable for the Company, or at all, our ability to maintain compliance with the Nasdaq continued listing requirements, our ability to cure any future deficiencies in compliance with any of the Nasdaq Listing Rules, the outcome and timing of the remaining GWG litigation and related legacy matters, risks related to the substantial costs and diversion of management’s attention and resources due to these matters, the risk that the Company’s collateral management services do not perform as expected or do not generate revenue, and the risk factors that are described under the section titled “Risk Factors” in our Annual Report on Form 10-K, Quarterly Reports on Form 10-Q, Current Reports on Form 8-K, and other filings with the SEC. These factors should not be construed as exhaustive and should be read in conjunction with the other cautionary statements that are included in this document and in our SEC filings. We expressly disclaim any obligation to publicly update or review any forward-looking statements, whether as a result of new information, future developments or otherwise, except as required by applicable law.</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2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Table 6: CONSOLIDATED STATEMENTS OF COMPREHENSIVE INCOME (LOSS)</w:t>
      </w:r>
    </w:p>
    <w:p>
      <w:pPr>
        <w:spacing w:after="0" w:line="220"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45720</wp:posOffset>
            </wp:positionV>
            <wp:extent cx="17056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280" w:type="dxa"/>
            <w:vAlign w:val="bottom"/>
          </w:tcPr>
          <w:p>
            <w:pPr>
              <w:spacing w:after="0"/>
              <w:rPr>
                <w:sz w:val="22"/>
                <w:szCs w:val="22"/>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40"/>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financial instruments, net (related party of $9,491 and $(552))</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0"/>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 services and administration revenues (related party of $30 and $30)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57"/>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r>
      <w:tr>
        <w:trPr>
          <w:trHeight w:val="270"/>
        </w:trPr>
        <w:tc>
          <w:tcPr>
            <w:tcW w:w="8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16,851</w:t>
            </w:r>
          </w:p>
        </w:tc>
      </w:tr>
      <w:tr>
        <w:trPr>
          <w:trHeight w:val="40"/>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(related party of $13,349 and $12,294)</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23,235</w:t>
            </w:r>
          </w:p>
        </w:tc>
      </w:tr>
      <w:tr>
        <w:trPr>
          <w:trHeight w:val="41"/>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impairment of goodwill and intangible assets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40"/>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Accrual (release) of loss contingency related to arbitration award</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(54,973)</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expenses net (related party of $2,856 and $2,825)</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r>
      <w:tr>
        <w:trPr>
          <w:trHeight w:val="40"/>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77"/>
        </w:trPr>
        <w:tc>
          <w:tcPr>
            <w:tcW w:w="8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w:t>
            </w:r>
          </w:p>
        </w:tc>
      </w:tr>
      <w:tr>
        <w:trPr>
          <w:trHeight w:val="23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(24,185)</w:t>
            </w:r>
          </w:p>
        </w:tc>
      </w:tr>
      <w:tr>
        <w:trPr>
          <w:trHeight w:val="40"/>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liability resolution</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w:t>
            </w:r>
          </w:p>
        </w:tc>
      </w:tr>
      <w:tr>
        <w:trPr>
          <w:trHeight w:val="236"/>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before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40"/>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(164,730)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r>
      <w:tr>
        <w:trPr>
          <w:trHeight w:val="40"/>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57"/>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Net loss attributable to noncontrolling interests - Customer ExAlt Trusts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34,914</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Net loss attributable to noncontrolling interests - Ben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34,875</w:t>
            </w:r>
          </w:p>
        </w:tc>
      </w:tr>
      <w:tr>
        <w:trPr>
          <w:trHeight w:val="40"/>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Noncontrolling interest guaranteed payment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w:t>
            </w:r>
          </w:p>
        </w:tc>
      </w:tr>
      <w:tr>
        <w:trPr>
          <w:trHeight w:val="27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Beneficient common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(87,426)</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 in available-for-sale debt securities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40"/>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57"/>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Comprehensive gain (loss) attributable to noncontrolling interests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(52,243)</w:t>
            </w:r>
          </w:p>
        </w:tc>
      </w:tr>
      <w:tr>
        <w:trPr>
          <w:trHeight w:val="40"/>
        </w:trPr>
        <w:tc>
          <w:tcPr>
            <w:tcW w:w="85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9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 attributable to Beneficient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(87,426)</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r>
      <w:tr>
        <w:trPr>
          <w:trHeight w:val="41"/>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 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r>
      <w:tr>
        <w:trPr>
          <w:trHeight w:val="270"/>
        </w:trPr>
        <w:tc>
          <w:tcPr>
            <w:tcW w:w="8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8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41"/>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r>
      <w:tr>
        <w:trPr>
          <w:trHeight w:val="24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40"/>
        </w:trPr>
        <w:tc>
          <w:tcPr>
            <w:tcW w:w="85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76" w:lineRule="exact"/>
        <w:rPr>
          <w:sz w:val="20"/>
          <w:szCs w:val="20"/>
          <w:color w:val="auto"/>
        </w:rPr>
      </w:pPr>
    </w:p>
    <w:p>
      <w:pPr>
        <w:ind w:left="120" w:hanging="112"/>
        <w:spacing w:after="0"/>
        <w:tabs>
          <w:tab w:leader="none" w:pos="12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Periods presented have been adjusted to reflect the 1-for-8 reverse stock split on December 15, 2025.</w:t>
      </w:r>
    </w:p>
    <w:p>
      <w:pPr>
        <w:sectPr>
          <w:pgSz w:w="11900" w:h="16838" w:orient="portrait"/>
          <w:cols w:equalWidth="0" w:num="1">
            <w:col w:w="11240"/>
          </w:cols>
          <w:pgMar w:left="320" w:top="1166"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16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Table 7: CONSOLIDATED STATEMENTS OF FINANCIAL CONDITION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7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5"/>
              </w:rPr>
              <w:t xml:space="preserve">March 31, 2025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186"/>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and shares in thousands)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40"/>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Investments held by Customer ExAlt Trusts (related party of $0 and $5)</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291,371</w:t>
            </w:r>
          </w:p>
        </w:tc>
        <w:tc>
          <w:tcPr>
            <w:tcW w:w="0" w:type="dxa"/>
            <w:vAlign w:val="bottom"/>
          </w:tcPr>
          <w:p>
            <w:pPr>
              <w:spacing w:after="0"/>
              <w:rPr>
                <w:sz w:val="1"/>
                <w:szCs w:val="1"/>
                <w:color w:val="auto"/>
              </w:rPr>
            </w:pPr>
          </w:p>
        </w:tc>
      </w:tr>
      <w:tr>
        <w:trPr>
          <w:trHeight w:val="263"/>
        </w:trPr>
        <w:tc>
          <w:tcPr>
            <w:tcW w:w="7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 net (related party of $514 and $404)</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49,144</w:t>
            </w:r>
          </w:p>
        </w:tc>
        <w:tc>
          <w:tcPr>
            <w:tcW w:w="0" w:type="dxa"/>
            <w:vAlign w:val="bottom"/>
          </w:tcPr>
          <w:p>
            <w:pPr>
              <w:spacing w:after="0"/>
              <w:rPr>
                <w:sz w:val="1"/>
                <w:szCs w:val="1"/>
                <w:color w:val="auto"/>
              </w:rPr>
            </w:pPr>
          </w:p>
        </w:tc>
      </w:tr>
      <w:tr>
        <w:trPr>
          <w:trHeight w:val="263"/>
        </w:trPr>
        <w:tc>
          <w:tcPr>
            <w:tcW w:w="7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0" w:type="dxa"/>
            <w:vAlign w:val="bottom"/>
          </w:tcPr>
          <w:p>
            <w:pPr>
              <w:spacing w:after="0"/>
              <w:rPr>
                <w:sz w:val="1"/>
                <w:szCs w:val="1"/>
                <w:color w:val="auto"/>
              </w:rPr>
            </w:pPr>
          </w:p>
        </w:tc>
      </w:tr>
      <w:tr>
        <w:trPr>
          <w:trHeight w:val="40"/>
        </w:trPr>
        <w:tc>
          <w:tcPr>
            <w:tcW w:w="7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238,772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354,875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TEMPORARY EQUITY, AND EQUITY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 (related party of $17,571 and $14,733)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100,345</w:t>
            </w:r>
          </w:p>
        </w:tc>
        <w:tc>
          <w:tcPr>
            <w:tcW w:w="0" w:type="dxa"/>
            <w:vAlign w:val="bottom"/>
          </w:tcPr>
          <w:p>
            <w:pPr>
              <w:spacing w:after="0"/>
              <w:rPr>
                <w:sz w:val="1"/>
                <w:szCs w:val="1"/>
                <w:color w:val="auto"/>
              </w:rPr>
            </w:pPr>
          </w:p>
        </w:tc>
      </w:tr>
      <w:tr>
        <w:trPr>
          <w:trHeight w:val="284"/>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 (related party of $30,497 and $19,360)</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80,806</w:t>
            </w:r>
          </w:p>
        </w:tc>
        <w:tc>
          <w:tcPr>
            <w:tcW w:w="0" w:type="dxa"/>
            <w:vAlign w:val="bottom"/>
          </w:tcPr>
          <w:p>
            <w:pPr>
              <w:spacing w:after="0"/>
              <w:rPr>
                <w:sz w:val="1"/>
                <w:szCs w:val="1"/>
                <w:color w:val="auto"/>
              </w:rPr>
            </w:pPr>
          </w:p>
        </w:tc>
      </w:tr>
      <w:tr>
        <w:trPr>
          <w:trHeight w:val="263"/>
        </w:trPr>
        <w:tc>
          <w:tcPr>
            <w:tcW w:w="7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3"/>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due to related parties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117,896</w:t>
            </w:r>
          </w:p>
        </w:tc>
        <w:tc>
          <w:tcPr>
            <w:tcW w:w="0" w:type="dxa"/>
            <w:vAlign w:val="bottom"/>
          </w:tcPr>
          <w:p>
            <w:pPr>
              <w:spacing w:after="0"/>
              <w:rPr>
                <w:sz w:val="1"/>
                <w:szCs w:val="1"/>
                <w:color w:val="auto"/>
              </w:rPr>
            </w:pPr>
          </w:p>
        </w:tc>
      </w:tr>
      <w:tr>
        <w:trPr>
          <w:trHeight w:val="40"/>
        </w:trPr>
        <w:tc>
          <w:tcPr>
            <w:tcW w:w="7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337,532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299,274</w:t>
            </w:r>
          </w:p>
        </w:tc>
        <w:tc>
          <w:tcPr>
            <w:tcW w:w="0" w:type="dxa"/>
            <w:vAlign w:val="bottom"/>
          </w:tcPr>
          <w:p>
            <w:pPr>
              <w:spacing w:after="0"/>
              <w:rPr>
                <w:sz w:val="1"/>
                <w:szCs w:val="1"/>
                <w:color w:val="auto"/>
              </w:rPr>
            </w:pPr>
          </w:p>
        </w:tc>
      </w:tr>
      <w:tr>
        <w:trPr>
          <w:trHeight w:val="223"/>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Series A Subclass 0 Redeemable Unit Accounts, nonunitized</w:t>
            </w: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90,526</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temporary equity</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90,526</w:t>
            </w:r>
          </w:p>
        </w:tc>
        <w:tc>
          <w:tcPr>
            <w:tcW w:w="0" w:type="dxa"/>
            <w:vAlign w:val="bottom"/>
          </w:tcPr>
          <w:p>
            <w:pPr>
              <w:spacing w:after="0"/>
              <w:rPr>
                <w:sz w:val="1"/>
                <w:szCs w:val="1"/>
                <w:color w:val="auto"/>
              </w:rPr>
            </w:pPr>
          </w:p>
        </w:tc>
      </w:tr>
      <w:tr>
        <w:trPr>
          <w:trHeight w:val="40"/>
        </w:trPr>
        <w:tc>
          <w:tcPr>
            <w:tcW w:w="7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(deficit)</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par value $0.001 per share, 250,000 shares authorized</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Series A preferred stock, 0 and 0 shares issued and outstanding as of March 31, 2026 and 2025</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Series B preferred stock, 1,831 and 363 shares issued and outstanding as of March 31, 2026 and</w:t>
            </w:r>
          </w:p>
        </w:tc>
        <w:tc>
          <w:tcPr>
            <w:tcW w:w="200" w:type="dxa"/>
            <w:vAlign w:val="bottom"/>
          </w:tcPr>
          <w:p>
            <w:pPr>
              <w:spacing w:after="0"/>
              <w:rPr>
                <w:sz w:val="20"/>
                <w:szCs w:val="20"/>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 respectively</w:t>
            </w:r>
          </w:p>
        </w:tc>
        <w:tc>
          <w:tcPr>
            <w:tcW w:w="20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par value $0.001 per share, 625,000 and 625,000 shares authorized as of</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31, 2026 and 2025, respectively, 14,419 and 1,060 shares issued as of March 31, 2026 and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 respectively, and 14,418 and 1,059 shares outstanding as of March 31, 2026 and 2025,</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convertible common stock, par value $0.001 per share, 31 shares authorized, 30 and 30</w:t>
            </w:r>
          </w:p>
        </w:tc>
        <w:tc>
          <w:tcPr>
            <w:tcW w:w="200" w:type="dxa"/>
            <w:vAlign w:val="bottom"/>
          </w:tcPr>
          <w:p>
            <w:pPr>
              <w:spacing w:after="0"/>
              <w:rPr>
                <w:sz w:val="20"/>
                <w:szCs w:val="20"/>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as of March 31, 2026 and 2025, respectively</w:t>
            </w:r>
          </w:p>
        </w:tc>
        <w:tc>
          <w:tcPr>
            <w:tcW w:w="20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1,884,835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1,844,496</w:t>
            </w:r>
          </w:p>
        </w:tc>
        <w:tc>
          <w:tcPr>
            <w:tcW w:w="0" w:type="dxa"/>
            <w:vAlign w:val="bottom"/>
          </w:tcPr>
          <w:p>
            <w:pPr>
              <w:spacing w:after="0"/>
              <w:rPr>
                <w:sz w:val="1"/>
                <w:szCs w:val="1"/>
                <w:color w:val="auto"/>
              </w:rPr>
            </w:pPr>
          </w:p>
        </w:tc>
      </w:tr>
      <w:tr>
        <w:trPr>
          <w:trHeight w:val="24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(2,008,052)</w:t>
            </w:r>
          </w:p>
        </w:tc>
        <w:tc>
          <w:tcPr>
            <w:tcW w:w="0" w:type="dxa"/>
            <w:vAlign w:val="bottom"/>
          </w:tcPr>
          <w:p>
            <w:pPr>
              <w:spacing w:after="0"/>
              <w:rPr>
                <w:sz w:val="1"/>
                <w:szCs w:val="1"/>
                <w:color w:val="auto"/>
              </w:rPr>
            </w:pPr>
          </w:p>
        </w:tc>
      </w:tr>
      <w:tr>
        <w:trPr>
          <w:trHeight w:val="40"/>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Treasury stock, at cost (1 share as of March 31, 2026 and 2025)</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0" w:type="dxa"/>
            <w:vAlign w:val="bottom"/>
          </w:tcPr>
          <w:p>
            <w:pPr>
              <w:spacing w:after="0"/>
              <w:rPr>
                <w:sz w:val="1"/>
                <w:szCs w:val="1"/>
                <w:color w:val="auto"/>
              </w:rPr>
            </w:pPr>
          </w:p>
        </w:tc>
      </w:tr>
      <w:tr>
        <w:trPr>
          <w:trHeight w:val="243"/>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132,076</w:t>
            </w:r>
          </w:p>
        </w:tc>
        <w:tc>
          <w:tcPr>
            <w:tcW w:w="0" w:type="dxa"/>
            <w:vAlign w:val="bottom"/>
          </w:tcPr>
          <w:p>
            <w:pPr>
              <w:spacing w:after="0"/>
              <w:rPr>
                <w:sz w:val="1"/>
                <w:szCs w:val="1"/>
                <w:color w:val="auto"/>
              </w:rPr>
            </w:pPr>
          </w:p>
        </w:tc>
      </w:tr>
      <w:tr>
        <w:trPr>
          <w:trHeight w:val="40"/>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(deficit)</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(34,925)</w:t>
            </w:r>
          </w:p>
        </w:tc>
        <w:tc>
          <w:tcPr>
            <w:tcW w:w="0" w:type="dxa"/>
            <w:vAlign w:val="bottom"/>
          </w:tcPr>
          <w:p>
            <w:pPr>
              <w:spacing w:after="0"/>
              <w:rPr>
                <w:sz w:val="1"/>
                <w:szCs w:val="1"/>
                <w:color w:val="auto"/>
              </w:rPr>
            </w:pPr>
          </w:p>
        </w:tc>
      </w:tr>
      <w:tr>
        <w:trPr>
          <w:trHeight w:val="41"/>
        </w:trPr>
        <w:tc>
          <w:tcPr>
            <w:tcW w:w="7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temporary equity, and equity (deficit)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238,772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354,875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Periods presented have been adjusted to reflect the 1-for-8 reverse stock split on December 15, 2025.</w:t>
      </w:r>
    </w:p>
    <w:p>
      <w:pPr>
        <w:spacing w:after="0" w:line="200" w:lineRule="exact"/>
        <w:rPr>
          <w:rFonts w:ascii="Times New Roman" w:cs="Times New Roman" w:eastAsia="Times New Roman" w:hAnsi="Times New Roman"/>
          <w:sz w:val="16"/>
          <w:szCs w:val="16"/>
          <w:color w:val="auto"/>
          <w:vertAlign w:val="superscript"/>
        </w:rPr>
      </w:pPr>
    </w:p>
    <w:p>
      <w:pPr>
        <w:spacing w:after="0" w:line="326" w:lineRule="exact"/>
        <w:rPr>
          <w:rFonts w:ascii="Times New Roman" w:cs="Times New Roman" w:eastAsia="Times New Roman" w:hAnsi="Times New Roman"/>
          <w:sz w:val="16"/>
          <w:szCs w:val="16"/>
          <w:color w:val="auto"/>
          <w:vertAlign w:val="superscript"/>
        </w:rPr>
      </w:pPr>
    </w:p>
    <w:p>
      <w:pPr>
        <w:ind w:left="558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16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Table 8: Non-GAAP Reconciliations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gridSpan w:val="5"/>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Customer ExAlt</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4060" w:type="dxa"/>
            <w:vAlign w:val="bottom"/>
          </w:tcPr>
          <w:p>
            <w:pPr>
              <w:spacing w:after="0"/>
              <w:rPr>
                <w:sz w:val="18"/>
                <w:szCs w:val="18"/>
                <w:color w:val="auto"/>
              </w:rPr>
            </w:pP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Ben Liquidity Ben Custody</w:t>
            </w:r>
          </w:p>
        </w:tc>
        <w:tc>
          <w:tcPr>
            <w:tcW w:w="22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Trusts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4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(42,409)</w:t>
            </w: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interests in GWG Wind Down</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34,567</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34,567</w:t>
            </w:r>
          </w:p>
        </w:tc>
      </w:tr>
      <w:tr>
        <w:trPr>
          <w:trHeight w:val="24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revenues</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(7,842)</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0"/>
        </w:trPr>
        <w:tc>
          <w:tcPr>
            <w:tcW w:w="4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(48,940)</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(45,860)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(59,944)</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interests in GWG Wind Down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34,567</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provision for credit losses on collateral</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comprised of interests in the GWG Wind Down Trust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 impairment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(release) of loss contingency related to arbitration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 including post-judgment interest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and professional fees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4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(48,940)</w:t>
            </w: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(19,492)</w:t>
            </w:r>
          </w:p>
        </w:tc>
      </w:tr>
      <w:tr>
        <w:trPr>
          <w:trHeight w:val="24"/>
        </w:trPr>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42"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legal and professional fees related to lawsuits.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5"/>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 December 31, 2025</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4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Customer ExAlt</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4080" w:type="dxa"/>
            <w:vAlign w:val="bottom"/>
          </w:tcPr>
          <w:p>
            <w:pPr>
              <w:spacing w:after="0"/>
              <w:rPr>
                <w:sz w:val="18"/>
                <w:szCs w:val="18"/>
                <w:color w:val="auto"/>
              </w:rPr>
            </w:pPr>
          </w:p>
        </w:tc>
        <w:tc>
          <w:tcPr>
            <w:tcW w:w="20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Ben Liquidity Ben Custody</w:t>
            </w:r>
          </w:p>
        </w:tc>
        <w:tc>
          <w:tcPr>
            <w:tcW w:w="1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Trusts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4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8"/>
              </w:rPr>
              <w:t>(25,469)</w:t>
            </w:r>
          </w:p>
        </w:tc>
        <w:tc>
          <w:tcPr>
            <w:tcW w:w="4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18,670</w:t>
            </w: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 to market adjustment on interests in the GWG Wind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Down Trust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(44,063)</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(44,063)</w:t>
            </w:r>
          </w:p>
        </w:tc>
      </w:tr>
      <w:tr>
        <w:trPr>
          <w:trHeight w:val="247"/>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revenues</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w w:val="98"/>
              </w:rPr>
              <w:t>(25,469)</w:t>
            </w:r>
          </w:p>
        </w:tc>
        <w:tc>
          <w:tcPr>
            <w:tcW w:w="4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(25,393)</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4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(29,167)</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8"/>
              </w:rPr>
              <w:t>(66,958)</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62,246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w:t>
            </w:r>
          </w:p>
        </w:tc>
      </w:tr>
      <w:tr>
        <w:trPr>
          <w:trHeight w:val="33"/>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 to market adjustment on interests in the GWG Wind</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Down Trust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(44,063)</w:t>
            </w:r>
          </w:p>
        </w:tc>
      </w:tr>
      <w:tr>
        <w:trPr>
          <w:trHeight w:val="33"/>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Intersegment provision for credit losses on collateral</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comprised of interests in the GWG Wind Down Trust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and intangible asset impairment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Accrual (release) of loss contingency related to arbitration</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award, including post-judgment interest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r>
      <w:tr>
        <w:trPr>
          <w:trHeight w:val="224"/>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33"/>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Legal and professional fees</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r>
      <w:tr>
        <w:trPr>
          <w:trHeight w:val="247"/>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(29,167)</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w w:val="98"/>
              </w:rPr>
              <w:t>(66,958)</w:t>
            </w:r>
          </w:p>
        </w:tc>
        <w:tc>
          <w:tcPr>
            <w:tcW w:w="4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(36,764)</w:t>
            </w:r>
          </w:p>
        </w:tc>
      </w:tr>
      <w:tr>
        <w:trPr>
          <w:trHeight w:val="24"/>
        </w:trPr>
        <w:tc>
          <w:tcPr>
            <w:tcW w:w="4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240" w:hanging="151"/>
        <w:spacing w:after="0"/>
        <w:tabs>
          <w:tab w:leader="none" w:pos="2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legal and professional fees related to lawsuits.</w:t>
      </w:r>
    </w:p>
    <w:p>
      <w:pPr>
        <w:sectPr>
          <w:pgSz w:w="11900" w:h="16838" w:orient="portrait"/>
          <w:cols w:equalWidth="0" w:num="1">
            <w:col w:w="11240"/>
          </w:cols>
          <w:pgMar w:left="320" w:top="1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166"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gridSpan w:val="5"/>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Customer ExAlt</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4060" w:type="dxa"/>
            <w:vAlign w:val="bottom"/>
          </w:tcPr>
          <w:p>
            <w:pPr>
              <w:spacing w:after="0"/>
              <w:rPr>
                <w:sz w:val="18"/>
                <w:szCs w:val="18"/>
                <w:color w:val="auto"/>
              </w:rPr>
            </w:pP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Ben Liquidity Ben Custody</w:t>
            </w:r>
          </w:p>
        </w:tc>
        <w:tc>
          <w:tcPr>
            <w:tcW w:w="22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Trusts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4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(30,969)</w:t>
            </w: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interests in GWG Wind Down</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revenues</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(31,550)</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(30,963)</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0"/>
        </w:trPr>
        <w:tc>
          <w:tcPr>
            <w:tcW w:w="4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(12,340)</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(71,705)</w:t>
            </w: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(45,295)</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interests in GWG Wind Down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provision for credit losses on collateral</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comprised of interests in GWG Wind Down Trust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 impairment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(release) of loss contingency related to arbitration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 including post-judgment interest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Legal and professional fees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r>
      <w:tr>
        <w:trPr>
          <w:trHeight w:val="24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(12,340)</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(71,699)</w:t>
            </w:r>
          </w:p>
        </w:tc>
        <w:tc>
          <w:tcPr>
            <w:tcW w:w="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(42,945)</w:t>
            </w:r>
          </w:p>
        </w:tc>
      </w:tr>
      <w:tr>
        <w:trPr>
          <w:trHeight w:val="24"/>
        </w:trPr>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160" w:hanging="152"/>
        <w:spacing w:after="0"/>
        <w:tabs>
          <w:tab w:leader="none" w:pos="16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legal and professional fees related to lawsuits.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March 31, 2026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Customer ExAlt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Ben Liquidity Ben Custody</w:t>
            </w:r>
          </w:p>
        </w:tc>
        <w:tc>
          <w:tcPr>
            <w:tcW w:w="30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Trusts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2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12,743</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(49,174)</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9,456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(39,125)</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interests in the GWG Wind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Down Trust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(9,496)</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(9,496)</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revenues</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33,421</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12,743</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(49,169)</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(45,571)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(48,616)</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(55,699)</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(214,506)</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188,867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(166,512)</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interests in the GWG Wind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Down Trust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(9,496)</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6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rPr>
              <w:t xml:space="preserve">Intersegment provision for </w:t>
            </w:r>
            <w:r>
              <w:rPr>
                <w:rFonts w:ascii="Times New Roman" w:cs="Times New Roman" w:eastAsia="Times New Roman" w:hAnsi="Times New Roman"/>
                <w:sz w:val="16"/>
                <w:szCs w:val="16"/>
                <w:color w:val="231F20"/>
              </w:rPr>
              <w:t>credit</w:t>
            </w:r>
            <w:r>
              <w:rPr>
                <w:rFonts w:ascii="Times New Roman" w:cs="Times New Roman" w:eastAsia="Times New Roman" w:hAnsi="Times New Roman"/>
                <w:sz w:val="16"/>
                <w:szCs w:val="16"/>
                <w:color w:val="auto"/>
              </w:rPr>
              <w:t xml:space="preserve"> losses on collateral</w:t>
            </w:r>
          </w:p>
        </w:tc>
        <w:tc>
          <w:tcPr>
            <w:tcW w:w="2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comprised of interests in the GWG Wind Down Trust</w:t>
            </w:r>
          </w:p>
        </w:tc>
        <w:tc>
          <w:tcPr>
            <w:tcW w:w="2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 impairment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(release) of loss contingency related to arbitration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 including post-judgment interest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67,894</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67,894</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and professional fees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9,355</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(55,699)</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(214,501)</w:t>
            </w: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188,867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(94,025)</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legal and professional fees related to lawsuits.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231" w:right="339" w:bottom="1440" w:gutter="0" w:footer="0" w:header="0"/>
        </w:sectPr>
      </w:pPr>
    </w:p>
    <w:bookmarkStart w:id="14" w:name="page15"/>
    <w:bookmarkEnd w:id="14"/>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March 31, 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Customer ExAlt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Ben Liquidity Ben Custody</w:t>
            </w:r>
          </w:p>
        </w:tc>
        <w:tc>
          <w:tcPr>
            <w:tcW w:w="340" w:type="dxa"/>
            <w:vAlign w:val="bottom"/>
          </w:tcPr>
          <w:p>
            <w:pPr>
              <w:spacing w:after="0"/>
              <w:rPr>
                <w:sz w:val="18"/>
                <w:szCs w:val="18"/>
                <w:color w:val="auto"/>
              </w:rPr>
            </w:pPr>
          </w:p>
        </w:tc>
        <w:tc>
          <w:tcPr>
            <w:tcW w:w="9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Trusts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40" w:type="dxa"/>
            <w:vAlign w:val="bottom"/>
          </w:tcPr>
          <w:p>
            <w:pPr>
              <w:spacing w:after="0"/>
              <w:rPr>
                <w:sz w:val="18"/>
                <w:szCs w:val="18"/>
                <w:color w:val="auto"/>
              </w:rPr>
            </w:pPr>
          </w:p>
        </w:tc>
        <w:tc>
          <w:tcPr>
            <w:tcW w:w="120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42,583</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21,574</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(63,404)</w:t>
            </w: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interests in GWG Wind Down</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revenues</w:t>
            </w: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42,583</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21,574</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(63,404)</w:t>
            </w: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(12,802)</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13,288</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(168,427)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133,513</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interests in GWG Wind Down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to market adjustment on derivative asset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provision for loan losses on collateral</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comprised of interests in the GWG Wind Down Trust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 impairment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(release) of loss contingency related to arbitration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 including post-judgment interest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(54,973)</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and professional fees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0" w:type="dxa"/>
            <w:vAlign w:val="bottom"/>
          </w:tcPr>
          <w:p>
            <w:pPr>
              <w:spacing w:after="0"/>
              <w:rPr>
                <w:sz w:val="1"/>
                <w:szCs w:val="1"/>
                <w:color w:val="auto"/>
              </w:rPr>
            </w:pPr>
          </w:p>
        </w:tc>
      </w:tr>
      <w:tr>
        <w:trPr>
          <w:trHeight w:val="24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(12,797)</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18,522</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(167,882)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(31,127)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131,701</w:t>
            </w: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(61,583)</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legal and professional fees related to lawsuits.</w:t>
            </w: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4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5"/>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 Non GAAP Reconciliation</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127,387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w:t>
            </w:r>
          </w:p>
        </w:tc>
        <w:tc>
          <w:tcPr>
            <w:tcW w:w="0" w:type="dxa"/>
            <w:vAlign w:val="bottom"/>
          </w:tcPr>
          <w:p>
            <w:pPr>
              <w:spacing w:after="0"/>
              <w:rPr>
                <w:sz w:val="1"/>
                <w:szCs w:val="1"/>
                <w:color w:val="auto"/>
              </w:rPr>
            </w:pPr>
          </w:p>
        </w:tc>
      </w:tr>
      <w:tr>
        <w:trPr>
          <w:trHeight w:val="216"/>
        </w:trPr>
        <w:tc>
          <w:tcPr>
            <w:tcW w:w="648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Plus: (Accrual) release of loss contingency related to arbitration award, including post-judgment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Goodwill impairment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0" w:type="dxa"/>
            <w:vAlign w:val="bottom"/>
          </w:tcPr>
          <w:p>
            <w:pPr>
              <w:spacing w:after="0"/>
              <w:rPr>
                <w:sz w:val="1"/>
                <w:szCs w:val="1"/>
                <w:color w:val="auto"/>
              </w:rPr>
            </w:pPr>
          </w:p>
        </w:tc>
      </w:tr>
      <w:tr>
        <w:trPr>
          <w:trHeight w:val="196"/>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Operating expenses, excluding goodwill impairment and release of loss contingency related to</w:t>
            </w:r>
          </w:p>
        </w:tc>
        <w:tc>
          <w:tcPr>
            <w:tcW w:w="34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12,728</w:t>
            </w:r>
          </w:p>
        </w:tc>
        <w:tc>
          <w:tcPr>
            <w:tcW w:w="8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14,326</w:t>
            </w:r>
          </w:p>
        </w:tc>
        <w:tc>
          <w:tcPr>
            <w:tcW w:w="100" w:type="dxa"/>
            <w:vAlign w:val="bottom"/>
            <w:vMerge w:val="restart"/>
          </w:tcPr>
          <w:p>
            <w:pPr>
              <w:spacing w:after="0"/>
              <w:rPr>
                <w:sz w:val="17"/>
                <w:szCs w:val="17"/>
                <w:color w:val="auto"/>
              </w:rPr>
            </w:pPr>
          </w:p>
        </w:tc>
        <w:tc>
          <w:tcPr>
            <w:tcW w:w="2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56,393</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67,523</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arbitration award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8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5" w:name="page16"/>
    <w:bookmarkEnd w:id="15"/>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Adjusted Revenues, Adjusted Operating Income (Loss), Adjusted Segment Revenues attributable to Ben's Equity Holders, Adjusted Segment Operating Income (Loss) attributable to Ben's Equity Holders, and Adjusted Operating Expenses are non-GAAP financial measures. We present these non-GAAP financial measures because we believe it helps investors understand underlying trends in our business and facilitates an understanding of our operating performance from period to period because it facilitates a comparison of our recurring core business operating results. The non-GAAP financial measures are intended as a supplemental measure of our performance that is neither required by, nor presented in accordance with, U.S. GAAP. Our presentation of these measures should not be construed as an inference that our future results will be unaffected by unusual or non-recurring items. Our computation of these non-GAAP financial measures may not be comparable to other similarly titled measures computed by other companies, because all companies may not calculate such items in the same way.</w:t>
      </w:r>
    </w:p>
    <w:p>
      <w:pPr>
        <w:spacing w:after="0" w:line="8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define adjusted revenue as revenue adjusted to exclude the effect of mark-to-market adjustments on related party equity securities that were acquired both prior to and during the Collateral Swap, which on August 1, 2023, became interests in the GWG Wind Down Trust and mark-to-market adjustments on derivative asset related to appreciation forfeiture for shares issued in the limited conversion of BCH Preferred A-1 to Class A common stock. Adjusted Segment Revenues attributable to Ben's Equity Holders is the same as "adjusted revenues" related to the aggregate of the Ben Liquidity, Ben Custody, and Corporate/Other Business Segments, which are the segments that impact the net income (loss) attributable to all equity holders of Beneficient, including equity holders of Beneficient's subsidiary, BCH.</w:t>
      </w:r>
    </w:p>
    <w:p>
      <w:pPr>
        <w:spacing w:after="0" w:line="7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Adjusted operating income (loss) represents GAAP operating income (loss), adjusted to exclude the effect of the adjustments to revenue as described above, credit losses on related party available-for-sale debt securities that were acquired in the Collateral Swap which on August 1, 2023, became interests in the GWG Wind Down Trust, and receivables from a related party that filed for bankruptcy and certain notes receivables originated during our formative transactions, non-cash asset impairment, share-based compensation expense, and legal, professional services, and public relations costs related to the GWG Holdings bankruptcy, lawsuits, and certain employee matters, including fees &amp; loss contingency accruals (releases), including post judgment interest incurred in arbitration with a former director. Adjusted Segment Operating Income (Loss) attributable to Ben's Equity Holders is the same as "adjusted operating income (loss)" related to the aggregate of the Ben Liquidity, Ben Custody, and Corporate/Other Business Segments, which are the segments that impact the net income (loss) attributable to all equity holders of Beneficient, including equity holders of Beneficient's subsidiary, BCH.</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operating expenses represent GAAP operating expenses, adjusted to exclude loss contingency accruals (releases), including post judgment interest incurred in arbitration with a former director, and non-cash asset impairment.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are not a measure of performance or liquidity calculated in accordance with U.S. GAAP. They are unaudited and should not be considered an alternative to, or more meaningful than, GAAP revenues, GAAP operating expenses, or GAAP operating income (loss) as an indicator of our operating performance. Uses of cash flows that are not reflected in adjusted operating income (loss) or adjusted segment operating income (loss) attributable to Ben's Equity Holders include capital expenditures, interest payments, debt principal repayments, and other expenses, which can be significant. As a result, adjusted operating income (loss) and/or adjusted segment operating income (loss) attributable to Ben's Equity Holders should not be considered as a measure of our liquidity.</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these limitations, Adjusted Revenues, Adjusted Operating Income (Loss), Adjusted Segment Revenues attributable to Ben's Equity Holders, Adjusted Segment Operating Income (Loss) attributable to Ben's Equity Holders, and Adjusted Operating Expenses should not be considered in isolation or as a substitute for performance measures calculated in accordance with U.S. GAAP. We compensate for these limitations by relying primarily on our U.S. GAAP results and using Adjusted Revenues, Adjusted Operating Income (Loss), Adjusted Segment Revenues attributable to Ben's Equity Holders, Adjusted Segment Operating Income (Loss) attributable to Ben's Equity Holders, and Adjusted Operating Expenses on a supplemental basis. You should review the reconciliation of these non-GAAP financial measures set forth above and not rely on any single financial measure to evaluate our business.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128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Beneficient Releases Letter to Shareholders Updating Progress on Significant Corporate Issues</w:t>
      </w:r>
    </w:p>
    <w:p>
      <w:pPr>
        <w:spacing w:after="0" w:line="3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DALLAS, TX</w:t>
      </w:r>
      <w:r>
        <w:rPr>
          <w:rFonts w:ascii="Times New Roman" w:cs="Times New Roman" w:eastAsia="Times New Roman" w:hAnsi="Times New Roman"/>
          <w:sz w:val="18"/>
          <w:szCs w:val="18"/>
          <w:color w:val="auto"/>
        </w:rPr>
        <w:t>, June 29, 2026</w:t>
      </w:r>
      <w:r>
        <w:rPr>
          <w:rFonts w:ascii="Times New Roman" w:cs="Times New Roman" w:eastAsia="Times New Roman" w:hAnsi="Times New Roman"/>
          <w:sz w:val="18"/>
          <w:szCs w:val="18"/>
          <w:b w:val="1"/>
          <w:bCs w:val="1"/>
          <w:color w:val="auto"/>
        </w:rPr>
        <w:t xml:space="preserve"> (GLOBE NEWSWIRE) -- Beneficient (NASDAQ: BENF) (Ben or the Company)</w:t>
      </w:r>
      <w:r>
        <w:rPr>
          <w:rFonts w:ascii="Times New Roman" w:cs="Times New Roman" w:eastAsia="Times New Roman" w:hAnsi="Times New Roman"/>
          <w:sz w:val="18"/>
          <w:szCs w:val="18"/>
          <w:color w:val="auto"/>
        </w:rPr>
        <w:t>, a technology-enabled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exit opportunities and primary capital solutions and related trust and custody services to holders of alternative assets, has issued a letter to shareholders from Chief Executive Officer James Silk about progress the Company has made in managing and settling significant issues as it reports its fiscal year 2026 earnings results in a separate press release.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Beneficient Shareholders,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has been three very eventful years since Beneficient went public on Nasdaq. I am here to report that, through disciplined decision making and execution, Beneficient is better positioned for the future.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would like to take this moment to thank you for staying with us as we continue to pursue our mission of creating long-term shareholder value and democratizing the market for alternative asset liquidity.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 reflect on how far we have come, I believe it is important to recognize what management and the Company’s Board of Directors (the Board) have achieved in addressing legacy issues while strengthening the foundation of the Company. This included supporting the U.S. Attorney’s Office for the Southern District of New York in the trial which led to the conviction of the Company’s former Chief Executive Officer Brad Heppner and working constructively with the litigation trustee to manage and continue to resolve matters associated with the bankruptcy of GWG Holdings, Inc. (GWG). These actions have been critical steps toward putting the challenges of the prior era behind us and allowing Beneficient to focus on the future.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honored that the Board has named me Chief Executive Officer of Beneficient, removing the interim designation from my title. Over the past 11 months, I have had the opportunity to work closely with our Board, employees, and stakeholders as we navigated a complex transition. I believe the Company now has a stronger operating foundation and a clearer strategic direction.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year 2026, a major area of progress has been strengthening our balance sheet and improving our financial position. Additionally, Beneficient resolved the GWG litigation matters, regained compliance with Nasdaq listing requirements, generated approximately $51.5 million in gross proceeds from asset sales, and fully repaid the principal balance under the HH-BDH Credit Agreement (excluding $1.1 million of deferred interest and fees). We also completed GP Primary Commitment transactions totaling approximately $14.9 million in net asset value. Subsequent to March 31, 2026, we entered into an additional primary capital transaction with a fund managed by a general partner, which will increase the collateral for the Company’s ExAlt loan portfolio by approximately $8.8 million. These steps strengthened our collateral base, improved our financial flexibility, and created a more stable foundation from which to execute our strategy.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same time, we have worked to expand the capabilities of our AI-powered technology. We are excited about the commercialization of our collateral management services we announced last week that demonstrate how the infrastructure we have built can support broader market needs. We believe there is a growing demand among institutions and investors for sophisticated analysis, monitoring, reporting, and risk-management solutions related to complex alternative asset-backed financial transactions. These capabilities create opportunities for recurring annual fee revenue while allowing us to leverage the technology and expertise already developed within Beneficient.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shareholders, one of the most important aspects of our next chapter is a change in the structure of our liquidity transactions to create value for those who hold shares of our common stock. As we originate and execute transactions like the GP Primary Commitment transactions, the value they create accrues more directly to those common shareholders as opposed to our non-controlling interest holders.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significance of these changes is that we are no longer limited to individual transactions or asset outcomes. We have built an operating platform capable of supporting multiple revenue streams, including transaction-related revenue, service revenue, and recurring fee-based opportunities. As adoption of our platform grows, we believe the market has the potential to recognize Beneficient not only as a participant in alternative asset liquidity, but as an infrastructure provider helping modernize how these assets are analyzed, managed, and transacted. We believe this shift can support long-term enterprise value creation and enhance the potential value of Ben’s common stock as investors better understand the scalability and strategic importance of the platform we have built.</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additional clarity on remaining legacy matters as we move forward. Brad Heppner is scheduled to be sentenced on October 7, 2026, and we continue working toward completion of the remaining GWG litigation settlement process. The</w:t>
      </w:r>
    </w:p>
    <w:p>
      <w:pPr>
        <w:sectPr>
          <w:pgSz w:w="11900" w:h="16838" w:orient="portrait"/>
          <w:cols w:equalWidth="0" w:num="1">
            <w:col w:w="11240"/>
          </w:cols>
          <w:pgMar w:left="320" w:top="1089"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resolution of these issues reduces uncertainty and allows us to focus our resources and attention on executing our business strategy. For shareholders, including holders of common stock, these milestones represent continued progress toward a cleaner operating environment and a stronger foundation for future growth.</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have stated, our mission remains unchanged: democratizing alternative asset liquidity for mid-to-high net worth individuals and small-to-mid-sized institutions through a technology platform built to handle underwriting, custody, analytics, and transaction execution.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What has changed is our ability to apply that platform more broadly. The technology, processes and expertise we have developed position Beneficient to pursue new business opportunities, strategic partnerships, and revenue opportunities that extend beyond our original vision.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want to thank our shareholders, employees, partners, and Board for their continued commitment during this important period. We have worked through significant challenges that I believe have made us a stronger company with a more focused direction.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opportunity ahead is substantial, and we remain focused on executing with discipline and creating lasting value for our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Silk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Beneficient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preferred liquidity services for their funds− with solutions that could help them unlock the value in their alternative assets.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subsidiary, Beneficient Fiduciary Financial, L.L.C., received its charter under the State of Kansas’ Technology-Enabled Fiduciary Financial Institution (TEFFI) Act and is subject to regulatory oversight by the Office of the State Bank Commissioner.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www.trustben.com or follow us on LinkedIn.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Kreps: 214-597-8200, mkreps@darrowir.com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Wetherington: 214-284-1199, mwetherington@darrowir.com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investors@beneficient.com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Forward-looking statements include, but are not limited to, statements regarding potential business opportunities, future growth, market demand, potential expansion of the Company’s collateral management services to other customers, the expectation of revenue from the Company’s collateral management services, the anticipated benefits of the Company’s collateral management services and the anticipated benefits of the change in structure of our liquidity transactions.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expressed in the forward-looking statements include, among others, our ability to consummate liquidity transactions on terms desirable for the Company, or at all, our ability to maintain compliance with the Nasdaq continued listing requirements, our ability to cure any future deficiencies in compliance with any of the Nasdaq Listing Rules, the outcome and timing of the remaining GWG litigation and related legacy matters, risks related to the substantial costs and diversion of management’s attention and resources due to these</w:t>
      </w:r>
    </w:p>
    <w:p>
      <w:pPr>
        <w:sectPr>
          <w:pgSz w:w="11900" w:h="16838" w:orient="portrait"/>
          <w:cols w:equalWidth="0" w:num="1">
            <w:col w:w="11240"/>
          </w:cols>
          <w:pgMar w:left="320" w:top="1201"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matters, the risk that the Company’s collateral management services do not perform as expected or do not generate revenue, and the other risks, uncertainties, and factors set forth under “Risk Factors” in the Company’s most recent Annual Report on Form 10-K and its subsequently filed Quarterly Reports on Form 10-Q, and the risks and uncertainties contained in the Company’s Current Reports on Form 8-K.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sectPr>
      <w:pgSz w:w="11900" w:h="16838" w:orient="portrait"/>
      <w:cols w:equalWidth="0" w:num="1">
        <w:col w:w="11240"/>
      </w:cols>
      <w:pgMar w:left="320" w:top="12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2026-06-29T17:19:39Z</dcterms:created>
  <dcterms:modified xsi:type="dcterms:W3CDTF">2026-06-29T17:19:39Z</dcterms:modified>
</cp:coreProperties>
</file>